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https://www.autoritedelaconcurrence.fr/fr/decision-de-controle-des-concentrations/relative-la-prise-de-controle-exclusif-de-deux-fonds-de-31</w:t>
      </w:r>
    </w:p>
    <w:p>
      <w:r>
        <w:t>Pages translated : 2</w:t>
      </w:r>
    </w:p>
    <w:p/>
    <w:p>
      <w:r>
        <w:rPr>
          <w:b/>
        </w:rPr>
        <w:t>[Pages 1–2]</w:t>
      </w:r>
    </w:p>
    <w:p>
      <w:r>
        <w:t>FRENCH REPUBLIC</w:t>
        <w:br/>
        <w:t>Decision No. 26-DCC-40 of January 28, 2026</w:t>
        <w:br/>
        <w:t>regarding the exclusive control acquisition of two businesses</w:t>
        <w:br/>
        <w:t>belonging to the Carrefour group by the company ITM Entreprises</w:t>
        <w:br/>
        <w:t>The Competition Authority,</w:t>
        <w:br/>
        <w:t>Having regard to the complete notification file sent to the mergers department on January 12, 2026,</w:t>
        <w:br/>
        <w:t>concerning the exclusive control acquisition of two businesses belonging to the Carrefour group by the company ITM Alimentaire International, a subsidiary of ITM Entreprises, formalized by a purchase promise signed on July 2, 2025, and two share transfer agreements dated November 14, 2025;</w:t>
        <w:br/>
        <w:t>Having regard to Book IV of the Commercial Code relating to the freedom of prices and competition, and in particular its Articles L. 430-1 to L. 430-7;</w:t>
        <w:br/>
        <w:t>Adopts the following decision:</w:t>
        <w:br/>
        <w:t>1. The notified operation consists of the acquisition, by the company ITM Alimentaire International, of the following two businesses:</w:t>
        <w:br/>
        <w:t>- the business of a store operated under the Carrefour brand in Argenteuil (95), with a sales area of [6,000-7,000] m²;</w:t>
        <w:br/>
        <w:t>- the business of a store operated under the Carrefour brand in Les Pavillons-sous-Bois (93), with a sales area of [4,000-5,000] m².</w:t>
        <w:br/>
        <w:t>The operation constitutes a concentration within the meaning of Article L. 430-1 of the Commercial Code.</w:t>
        <w:br/>
        <w:t>Given the turnover achieved by the companies concerned, the operation does not fall under the jurisdiction of the European Union. However, the control thresholds mentioned in II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26-012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