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https://www.autoritedelaconcurrence.fr/fr/decision-de-controle-des-concentrations/relative-la-prise-de-controle-exclusif-de-deux-fonds-de-4</w:t>
      </w:r>
    </w:p>
    <w:p>
      <w:r>
        <w:t>Pages translated : 2</w:t>
      </w:r>
    </w:p>
    <w:p/>
    <w:p>
      <w:r>
        <w:rPr>
          <w:b/>
        </w:rPr>
        <w:t>[Pages 1–2]</w:t>
      </w:r>
    </w:p>
    <w:p>
      <w:r>
        <w:t xml:space="preserve">FRENCH REPUBLIC  </w:t>
        <w:br/>
        <w:t xml:space="preserve">Decision No. 14-DCC-12 of January 27, 2014  </w:t>
        <w:br/>
        <w:t xml:space="preserve">regarding the exclusive control acquisition of two automotive distribution businesses by the company Espace Auto  </w:t>
        <w:br/>
        <w:t xml:space="preserve">The Competition Authority,  </w:t>
        <w:br/>
        <w:t xml:space="preserve">Having regard to the complete notification file submitted to the mergers department on December 30, 2013, concerning the exclusive control acquisition of two businesses owned by the Société d’Investissement et de Participation d’Aquitaine by the company Espace Auto, formalized by a transfer agreement dated December 18, 2013;  </w:t>
        <w:br/>
        <w:t xml:space="preserve">Having regard to Book IV of the Commercial Code relating to the freedom of prices and competition, and in particular its Articles L. 430-1 to L. 430-7;  </w:t>
        <w:br/>
        <w:t xml:space="preserve">Adopts the following decision:  </w:t>
        <w:br/>
        <w:t xml:space="preserve">1. The company Espace Auto belongs to the CH de B Invest group, which operates several automotive dealerships under the brands Audi, Skoda, and Volkswagen. The notified operation consists of the exclusive control acquisition by the company Espace Auto of two businesses, each operating a Seat brand automotive dealership, located in Gironde (33). It constitutes a concentration operation within the meaning of Article L. 430-1 of the Commercial Code. Given the turnover generated by the companies concerned, the operation does not have a community dimension.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13-194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