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https://www.autoritedelaconcurrence.fr/fr/decision-de-controle-des-concentrations/relative-la-prise-de-controle-exclusif-de-deux-fonds-de-5</w:t>
      </w:r>
    </w:p>
    <w:p>
      <w:r>
        <w:t>Pages translated : 2</w:t>
      </w:r>
    </w:p>
    <w:p/>
    <w:p>
      <w:r>
        <w:rPr>
          <w:b/>
        </w:rPr>
        <w:t>[Pages 1–2]</w:t>
      </w:r>
    </w:p>
    <w:p>
      <w:r>
        <w:t xml:space="preserve">REPUBLIC OF FRANCE  </w:t>
        <w:br/>
        <w:t xml:space="preserve">Decision No. 14-DCC-191 of December 23, 2014  </w:t>
        <w:br/>
        <w:t xml:space="preserve">regarding the exclusive control acquisition of two automobile distribution businesses by the company Bernier Automobiles  </w:t>
        <w:br/>
        <w:t xml:space="preserve">The Competition Authority,  </w:t>
        <w:br/>
        <w:t xml:space="preserve">Having regard to the notification file sent to the mergers department on November 24, 2014, and declared complete on December 16, 2014, concerning the exclusive control acquisition of two automobile distribution businesses by the company Bernier Automobiles, and formalized by a bilateral promise of sale dated November 14, 2014;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two businesses belonging to the Société Commerciale Automobiles and distributing Peugeot brand vehicles in the towns of Juvisy-sur-Orge and Athis-Mons in the department of Essonne (91), by the company Bernier Automobiles, which is itself active in the automobile distribution sector in the departments of Essonne (91), Loiret (45), Yvelines (78), Eure (27), and Eure et Loire (28).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14-209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