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https://www.autoritedelaconcurrence.fr/fr/decision-de-controle-des-concentrations/relative-la-prise-de-controle-exclusif-de-deux-fonds-de-6</w:t>
      </w:r>
    </w:p>
    <w:p>
      <w:r>
        <w:t>Pages translated : 4</w:t>
      </w:r>
    </w:p>
    <w:p/>
    <w:p>
      <w:r>
        <w:rPr>
          <w:b/>
        </w:rPr>
        <w:t>[Pages 1–3]</w:t>
      </w:r>
    </w:p>
    <w:p>
      <w:r>
        <w:t xml:space="preserve">FRENCH REPUBLIC  </w:t>
        <w:br/>
        <w:t xml:space="preserve">Decision No. 14-DCC-194 of December 24, 2014  </w:t>
        <w:br/>
        <w:t xml:space="preserve">regarding the exclusive control of two automotive distribution business assets by the company SCB  </w:t>
        <w:br/>
        <w:t xml:space="preserve">The Competition Authority,  </w:t>
        <w:br/>
        <w:t xml:space="preserve">Having regard to the notification file sent to the merger service on November 17, 2014, and declared complete on December 4, 2014, regarding the exclusive control of two automotive distribution business assets by the company SCB, formalized by a transfer protocol dated October 29, 2014;  </w:t>
        <w:br/>
        <w:t xml:space="preserve">Having regard to Book IV of the Commercial Code relating to price freedom and competition, and in particular its Articles L. 430-1 to L. 430-7;  </w:t>
        <w:br/>
        <w:t xml:space="preserve">Adopts the following decision:  </w:t>
        <w:br/>
        <w:t xml:space="preserve">I. The companies concerned and the operation  </w:t>
        <w:br/>
        <w:t xml:space="preserve">1. The company SCB is the parent holding company of the Car Avenue group. The Car Avenue group operates automotive dealerships for brands Peugeot, Citroën, Kia, Hyundai, Porsche, Honda, Volkswagen, Audi, Seat, BMW, and Mini in the departments of Meurthe-et-Moselle (54), Moselle (57), Bas-Rhin (67), and Haut-Rhin (68).  </w:t>
        <w:br/>
        <w:t xml:space="preserve">2. The target business assets, located in Laxou and Lunéville (54), are owned by Société Commerciale Citroën SAS, a subsidiary of the PSA group. These Peugeot brand dealerships are active in the distribution of new passenger vehicles intended for individual customers and professionals, the distribution of used passenger vehicles, the distribution of spare parts and automotive accessories, and the distribution of maintenance and repair services for passenger vehicles.  </w:t>
        <w:br/>
        <w:t xml:space="preserve">3. Under the transfer protocol dated October 29, 2014, the company SCB will acquire ownership of the business assets in Laxou and Lunéville (54).  </w:t>
        <w:br/>
        <w:t>4. As it results in the exclusive control of the two business assets by the company SCB, the notified operation constitutes a concentration within the meaning of Article L. 430-1 of the Commercial Code.</w:t>
      </w:r>
    </w:p>
    <w:p>
      <w:r>
        <w:t xml:space="preserve">5. The companies concerned together achieve a total worldwide turnover of more than 75 million euros (Car Avenue: 167 million euros for the last fiscal year ending on December 31, 2013; the target business assets: 57.9 million euros for the same fiscal year). The companies concerned achieve in France in the automotive distribution sector a turnover exceeding 15 million euros (Car Avenue: 167 million euros for the last fiscal year ending on December 31, 2013; the target business assets: 57.9 million euros for the same fiscal year). Given these figures,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A. DEFINITION OF PRODUCT AND SERVICE MARKETS  </w:t>
        <w:br/>
        <w:t xml:space="preserve">6. In the automotive distribution sector, the decision-making practice1 distinguishes (i) the distribution of new passenger vehicles intended for individual customers; (ii) the distribution of new passenger vehicles intended for professional customers; (iii) the distribution of commercial vehicles; (iv) the distribution of used vehicles; (v) the distribution of spare parts and automotive accessories; (vi) the distribution of maintenance and repair services for vehicles; (vii) the distribution of rental services.  </w:t>
        <w:br/>
        <w:t xml:space="preserve">7. There is no need to challenge these definitions during the examination of the present operation.  </w:t>
        <w:br/>
        <w:t xml:space="preserve">8. The companies concerned are simultaneously present in all of these markets.  </w:t>
        <w:br/>
        <w:t xml:space="preserve">B. GEOGRAPHICAL DEFINITION OF MARKETS  </w:t>
        <w:br/>
        <w:t xml:space="preserve">9. Regarding the retail sale of new or used vehicles, spare parts and automotive accessories, and maintenance and repair services for vehicles, the decision-making practice2 adopts a local definition, with the analysis generally conducted at the departmental level.  </w:t>
        <w:br/>
        <w:t xml:space="preserve">10. In this case, both parties are active in the department of Meurthe-et-Moselle (54), the only department where their activities overlap.  </w:t>
        <w:br/>
        <w:t xml:space="preserve">1 See in particular Decision No. 09-DCC-01 of the Competition Authority of April 8, 2009, and Decision No. 10-DCC-23 of March 1, 2010.  </w:t>
        <w:br/>
        <w:t>2 See the aforementioned decisions.</w:t>
      </w:r>
    </w:p>
    <w:p>
      <w:r>
        <w:t xml:space="preserve">III. Competitive Analysis  </w:t>
        <w:br/>
        <w:t xml:space="preserve">A. VEHICLE SALES MARKETS  </w:t>
        <w:br/>
        <w:t xml:space="preserve">11. Regarding the calculation of market shares, the decision-making practice3 uses as an indicator the ratio between the sales of new vehicles made by the parties in the departments concerned by the operation and the total registrations of new vehicles recorded in these same departments by the prefectures.  </w:t>
        <w:br/>
        <w:t xml:space="preserve">12. In the various markets concerned by the operation, the parties to the concentration present the following market shares:  </w:t>
        <w:br/>
        <w:t xml:space="preserve">Department of Meurthe-et-Moselle (54)  </w:t>
        <w:br/>
        <w:t xml:space="preserve">Market shares related to the number of vehicles  </w:t>
        <w:br/>
        <w:t xml:space="preserve">Car Avenue Target Funds Cumulative  </w:t>
        <w:br/>
        <w:t xml:space="preserve">Distribution of new passenger vehicles intended for individual customers 8.95% 7.89% 16.84%  </w:t>
        <w:br/>
        <w:t xml:space="preserve">Distribution of new passenger vehicles intended for professional customers 11.16% 14.06% 25.22%  </w:t>
        <w:br/>
        <w:t xml:space="preserve">Distribution of commercial vehicles 5.32% 8.51% 13.83%  </w:t>
        <w:br/>
        <w:t xml:space="preserve">Distribution of used vehicles 1.76% 1.58% 3.34%  </w:t>
        <w:br/>
        <w:t xml:space="preserve">13. The market shares of the Car Avenue group will, following the operation, be below 20% in the various markets for the distribution of new passenger vehicles, except for the market for the distribution of new passenger vehicles intended for professional customers, where the market share of the new entity will be slightly above 25% (25.22%). In the market for the distribution of used vehicles, the position of the Car Avenue group will be below 5%.  </w:t>
        <w:br/>
        <w:t xml:space="preserve">14. Following the operation, the Car Avenue group will remain in competition with other independent Peugeot brand dealers as well as with dealers of competing brands, including Renault, Citroën, Volkswagen, Ford, and Fiat.  </w:t>
        <w:br/>
        <w:t xml:space="preserve">15. The operation is therefore not likely to harm competition in these markets.  </w:t>
        <w:br/>
        <w:t>3 See the aforementioned decisions.</w:t>
      </w:r>
    </w:p>
    <w:p>
      <w:r>
        <w:rPr>
          <w:b/>
        </w:rPr>
        <w:t>[Pages 4–4]</w:t>
      </w:r>
    </w:p>
    <w:p>
      <w:r>
        <w:t>B. MARKETS FOR SPARE PARTS AND MAINTENANCE AND REPAIR SERVICES</w:t>
        <w:br/>
        <w:t>16. In the retail market for automotive spare parts and accessories and in the market for maintenance and repair services for motor vehicles, the parties have not been able to provide their market shares. However, it should be noted that, in the department of Meurthe-et-Moselle, the Car Avenue group will face competition from other Peugeot brand dealers and from garages and repairers authorized by them. Car Avenue will also face competition from numerous independent garages and repairers, as well as from specialized brands such as Speedy, Midas, and Nauroto, which may offer consumers identical or equivalent quality spare parts and accessories, as well as maintenance and repair services for motor vehicles similar to those distributed by the various entities.</w:t>
        <w:br/>
        <w:t>17. Given the above elements, the operation is not likely to harm competition.</w:t>
        <w:br/>
        <w:t>DECIDES</w:t>
        <w:br/>
        <w:t>Sole Article: The operation notified under number 14-203 is authorized.</w:t>
        <w:b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