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https://www.autoritedelaconcurrence.fr/fr/decision-de-controle-des-concentrations/relative-la-prise-de-controle-exclusif-de-deux-fonds-de-7</w:t>
      </w:r>
    </w:p>
    <w:p>
      <w:r>
        <w:t>Pages translated : 2</w:t>
      </w:r>
    </w:p>
    <w:p/>
    <w:p>
      <w:r>
        <w:rPr>
          <w:b/>
        </w:rPr>
        <w:t>[Pages 1–2]</w:t>
      </w:r>
    </w:p>
    <w:p>
      <w:r>
        <w:t xml:space="preserve">FRENCH REPUBLIC  </w:t>
        <w:br/>
        <w:t xml:space="preserve">Decision No. 14-DCC-51 of April 4, 2014  </w:t>
        <w:br/>
        <w:t xml:space="preserve">regarding the exclusive control acquisition of two automobile distribution businesses by Metin Holding  </w:t>
        <w:br/>
        <w:t xml:space="preserve">The Competition Authority,  </w:t>
        <w:br/>
        <w:t xml:space="preserve">Having regard to the complete notification file submitted to the mergers department on March 12, 2014, concerning the exclusive control acquisition by Metin Holding of two businesses from the MSA Automobiles group, formalized by a sales promise dated February 19, 2014;  </w:t>
        <w:br/>
        <w:t xml:space="preserve">Having regard to Book IV of the Commercial Code relating to the freedom of prices and competition, and in particular its Articles L. 430-1 to L. 430-7;  </w:t>
        <w:br/>
        <w:t xml:space="preserve">Adopts the following decision:  </w:t>
        <w:br/>
        <w:t xml:space="preserve">1. The Metin group operates automobile dealerships under the brands Peugeot, Volkswagen, Audi, Seat, and Kia in Paris, in Seine-et-Marne (77), in Essonne (91), in Seine-St-Denis (93), and in Val-de-Marne (94). The notified operation consists of the exclusive control acquisition of two automobile distribution businesses of the brands Seat and Kia in the municipalities of Champigny-sur-Marne (94) and Meaux (77), by Metin Holding. 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14-040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