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https://www.autoritedelaconcurrence.fr/fr/decision-de-controle-des-concentrations/relative-la-prise-de-controle-exclusif-de-deux-fonds-de-8</w:t>
      </w:r>
    </w:p>
    <w:p>
      <w:r>
        <w:t>Pages translated : 2</w:t>
      </w:r>
    </w:p>
    <w:p/>
    <w:p>
      <w:r>
        <w:rPr>
          <w:b/>
        </w:rPr>
        <w:t>[Pages 1–2]</w:t>
      </w:r>
    </w:p>
    <w:p>
      <w:r>
        <w:t xml:space="preserve">REPUBLIC OF FRANCE  </w:t>
        <w:br/>
        <w:t xml:space="preserve">Decision No. 14-DCC-74 of June 2, 2014  </w:t>
        <w:br/>
        <w:t xml:space="preserve">regarding the exclusive control acquisition of two PSA automobile distribution businesses by the Bernard group  </w:t>
        <w:br/>
        <w:t xml:space="preserve">The Competition Authority,  </w:t>
        <w:br/>
        <w:t xml:space="preserve">Having regard to the complete notification file submitted to the mergers department on May 7, 2014, concerning the exclusive control acquisition of two businesses owned by the commercial company Citroën by the company Garage moderne, a subsidiary of Bernard Participations, and materialized by two reciprocal promises of business transfer dated April 30,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two businesses owned by the Commercial Company Citroën, a subsidiary of the PSA group, each operating a Citroën brand automobile dealership, located respectively in Marne (51) and Ardennes (08), by the company Garage Moderne, a subsidiary of Bernard Participations, a company at the head of a group active in automobile distribution in several departments.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14-074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