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https://www.autoritedelaconcurrence.fr/fr/decision-de-controle-des-concentrations/relative-la-prise-de-controle-exclusif-de-deux-fonds-de-9</w:t>
      </w:r>
    </w:p>
    <w:p>
      <w:r>
        <w:t>Pages translated : 2</w:t>
      </w:r>
    </w:p>
    <w:p/>
    <w:p>
      <w:r>
        <w:rPr>
          <w:b/>
        </w:rPr>
        <w:t>[Pages 1–2]</w:t>
      </w:r>
    </w:p>
    <w:p>
      <w:r>
        <w:t xml:space="preserve">FRENCH REPUBLIC  </w:t>
        <w:br/>
        <w:t xml:space="preserve">Decision No. 15-DCC-162 of December 4, 2015  </w:t>
        <w:br/>
        <w:t xml:space="preserve">regarding the exclusive control acquisition of two automotive distribution businesses by the company ECL  </w:t>
        <w:br/>
        <w:t xml:space="preserve">The Competition Authority,  </w:t>
        <w:br/>
        <w:t xml:space="preserve">Having regard to the notification file sent to the mergers department on October 29, 2015, and declared complete on November 13, 2015, concerning the acquisition by the company ECL of two automotive distribution businesses located in Auxerre-Périgny and Sens, formalized by a synallagmatic promise of sale of business assets dated September 28,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two Mercedes brand automotive distribution businesses operated by the companies Sequoia and Madea in the department of Yonne (89) by the company ECL, which itself operates several automotive dealerships of the brands Peugeot, Citroën, Mercedes, and Kia in Alpes-de-Haute-Provence (04), Hautes-Alpes (05), Aube (10), Côte-d’Or (21), Doubs (25), Jura (39), Haute-Marne (52), Drôme (26), Ardèche (07), Haute-Saône (70), Vaucluse (84), Haute-Loire (43), Isère (38), and Rhône (69).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15-187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