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w:t>
      </w:r>
    </w:p>
    <w:p>
      <w:r>
        <w:t>Pages translated : 2</w:t>
      </w:r>
    </w:p>
    <w:p/>
    <w:p>
      <w:r>
        <w:rPr>
          <w:b/>
        </w:rPr>
        <w:t>[Pages 1–2]</w:t>
      </w:r>
    </w:p>
    <w:p>
      <w:r>
        <w:t xml:space="preserve">FRENCH REPUBLIC  </w:t>
        <w:br/>
        <w:t xml:space="preserve">Decision No. 12-DCC-61 of May 10, 2012  </w:t>
        <w:br/>
        <w:t xml:space="preserve">regarding the exclusive control acquisition of two business assets  </w:t>
        <w:br/>
        <w:t xml:space="preserve">held by Société Commerciale Automobile  </w:t>
        <w:br/>
        <w:t xml:space="preserve">by the company Paul Kroely Automobiles  </w:t>
        <w:br/>
        <w:t xml:space="preserve">The Competition Authority,  </w:t>
        <w:br/>
        <w:t xml:space="preserve">Having regard to the notification file sent to the mergers department on March 19, 2012, and declared complete on April 17, 2012, concerning the acquisition of two business assets held by Société Commerciale Automobile by the company Paul Kroely Automobiles, formalized by a business asset transfer agreement under suspensive conditions dated March 9,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Peugeot brand automobile dealership business assets located in Strasbourg (67) and held by Société Commerciale Automobile, a subsidiary of the PSA group, by the company Paul Kroely Automobiles, which is itself active in the distribution of motor vehicles through several dealerships located in the northeast of France. It constitutes a concentration operation within the meaning of Article L. 430-1 of the Commercial Code. Given the revenues generated by the companies involved, the operation does not have a community dimension. However, the retail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12-048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