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https://www.autoritedelaconcurrence.fr/fr/decision-de-controle-des-concentrations/relative-la-prise-de-controle-exclusif-de-dix-fonds-de-0</w:t>
      </w:r>
    </w:p>
    <w:p>
      <w:r>
        <w:t>Pages translated : 2</w:t>
      </w:r>
    </w:p>
    <w:p/>
    <w:p>
      <w:r>
        <w:rPr>
          <w:b/>
        </w:rPr>
        <w:t>[Pages 1–2]</w:t>
      </w:r>
    </w:p>
    <w:p>
      <w:r>
        <w:t xml:space="preserve">FRENCH REPUBLIC  </w:t>
        <w:br/>
        <w:t xml:space="preserve">Decision No. 21-DCC-191 of October 19, 2021  </w:t>
        <w:br/>
        <w:t xml:space="preserve">regarding the exclusive control acquisition of ten business assets  </w:t>
        <w:br/>
        <w:t xml:space="preserve">belonging to the company Aldi by the company Carrefour France  </w:t>
        <w:br/>
        <w:t xml:space="preserve">The Competition Authority,  </w:t>
        <w:br/>
        <w:t xml:space="preserve">Having regard to the notification file sent to the mergers department on August 30, 2021, declared complete on September 29, 2021, concerning the acquisition of control by the company Carrefour France of ten business assets belonging to the company Aldi, formalized by the unilateral purchase promise of July 13, 2021;  </w:t>
        <w:br/>
        <w:t xml:space="preserve">Having regard to Book IV of the Commercial Code relating to the freedom of prices and competition, and in particular its Articles L. 430-1 to L. 430-7;  </w:t>
        <w:br/>
        <w:t xml:space="preserve">Having regard to the elements transmitted by the notifying party during the investigation;  </w:t>
        <w:br/>
        <w:t xml:space="preserve">Adopts the following decision:  </w:t>
        <w:br/>
        <w:t xml:space="preserve">1. The notified operation consists of the exclusive control acquisition of ten retail business assets predominantly food-related, previously belonging to Aldi and located in Caudelec-lès-Elbeuf (76), Chenôve (21), Figeac (46), Lanton (33), Le Creusot (71), Orvault (44), Reims (51), Saint-Mars-la-Brière (72), Sézanne (51), and Verdun (55) by the company Carrefour France, which is itself active in the retail distribution sector predominantly food-related.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21-195 is authorized.  </w:t>
        <w:br/>
        <w:t xml:space="preserve">The interim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