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https://www.autoritedelaconcurrence.fr/fr/decision-de-controle-des-concentrations/relative-la-prise-de-controle-exclusif-de-dix-huit-points</w:t>
      </w:r>
    </w:p>
    <w:p>
      <w:r>
        <w:t>Pages translated : 8</w:t>
      </w:r>
    </w:p>
    <w:p/>
    <w:p>
      <w:r>
        <w:rPr>
          <w:b/>
        </w:rPr>
        <w:t>[Pages 1–3]</w:t>
      </w:r>
    </w:p>
    <w:p>
      <w:r>
        <w:t xml:space="preserve">FRENCH REPUBLIC  </w:t>
        <w:br/>
        <w:t xml:space="preserve">Decision No. 16-DCC-139 of August 29, 2016  </w:t>
        <w:br/>
        <w:t>regarding the exclusive control of eighteen retail outlets under the But brand by But International</w:t>
      </w:r>
    </w:p>
    <w:p>
      <w:r>
        <w:t xml:space="preserve">The Competition Authority,  </w:t>
        <w:br/>
        <w:t xml:space="preserve">Having regard to the notification file submitted in full to the merger service on July 26, 2016, regarding the exclusive control by But International of eighteen retail outlets under the But brand of the Yvrai group, formalized by a share transfer protocol dated November 18, 2011, and by the notification by But International of the fulfillment of the sale promise of the Yvrai group on April 13, 2016;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companies concerned and the operation  </w:t>
        <w:br/>
        <w:t xml:space="preserve">1. But International (hereinafter, "But") is a simplified joint-stock company, controlled by the investment funds Goldman Sachs and Colony Capital. But is active in the retail trade of furniture products, decoration, and household appliances through a network of 297 stores under its brand, of which 187 are owned and 110 are franchised. Goldman Sachs and Colony Capital do not hold any controlling interest in companies active in the markets concerned by the operation or in upstream or related markets.  </w:t>
        <w:br/>
        <w:t xml:space="preserve">2. The eighteen retail outlets that are the subject of the operation (hereinafter collectively referred to as "the target") are owned by the simplified joint-stock company Yvrai Distribution Equipement du Foyer (hereinafter, "Ydef"), a wholly-owned subsidiary of the Groupe Yvrai, which is controlled by the Yvrai family. The Yvrai group is active in the home equipment sector, which, prior to the takeover offer, operated twenty-four retail outlets in France. The eighteen retail outlets concerned by the operation, currently operated under the But brand, are located in Ambérieu-en-Bugey (01), Chalon-sur-Saône (71), Albertville (73), Annecy (74), Roanne (42), Gap (05), Saint-Jean-de-Maurienne (73), Bourgoin (38), Chambéry (73), Toulouse (31), Aucamville (31), Labège (31), Eybens (38), Voiron (38), Saint-Egrève (38), Valence (26), Lyon (69), Romans (26).  </w:t>
        <w:br/>
        <w:t xml:space="preserve">3. Under the terms of a share transfer protocol subject to a condition precedent dated November 18, 2011, and the notification by But International of the fulfillment of the sale promise of the Yvrai group on April 13, 2016, But must acquire these eighteen business assets. As it results in the exclusive control of eighteen retail outlets under the But brand by But International, the notified operation constitutes a concentration operation within the meaning of Article L. 430-1 of the Commercial Code.  </w:t>
        <w:br/>
        <w:t>4. The companies concerned together achieve a total turnover excluding taxes on a global level of more than 75 million euros (But International: […] euros for the fiscal year 2014-2015; the target: […] euros for the fiscal year ending December 31, 2015). Each of these companies has achieved in France a turnover exceeding 15 million euros (But International: […] euros for the fiscal year 2014-2015; the target: […] euros for the fiscal year ending December 31, 2015). Given these turnover figures,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w:t>
      </w:r>
    </w:p>
    <w:p>
      <w:r>
        <w:t xml:space="preserve">II. Delimitation of relevant markets  </w:t>
        <w:br/>
        <w:t xml:space="preserve">A. DELIMITATION OF MARKETS IN TERMS OF PRODUCTS AND SERVICES  </w:t>
        <w:br/>
        <w:t xml:space="preserve">5. In the retail sector, competition authorities generally recognize two categories of markets: (i) upstream supply markets that connect suppliers and retail companies, and (ii) downstream distribution markets that connect retail companies and final consumers.  </w:t>
        <w:br/>
        <w:t xml:space="preserve">6. As the Competition Authority has recalled, "the type of products sold is one of the most important criteria for delineating markets in the retail sector." Furthermore, "the format and size of the store are also important criteria for delineating markets as they determine, in particular, the ability of the retail outlet in question to market a greater or lesser number of products or to offer certain ancillary services. Large specialized retail outlets (GSS) are thus distinguished from large food retail outlets (GSA) and proximity stores."  </w:t>
        <w:br/>
        <w:t xml:space="preserve">1 The turnover of But International must "take into account all activities of the group and not just those of the subsidiaries directly involved in the operation or those related to the markets concerned or affected by the operation" (paragraph 92 of the Guidelines of the Competition Authority regarding the control of concentrations). It has been calculated by taking into account the global turnover of Goldman Sachs ([…] for the fiscal year ending December 31, 2014) and that of Colony Capital ([…] for the fiscal year ending December 31, 2015).  </w:t>
        <w:br/>
        <w:t xml:space="preserve">2 Goldman Sachs: […] for the fiscal year ending December 31, 2014; Colony Capital: […] for the fiscal year ending December 31, 2015.  </w:t>
        <w:br/>
        <w:t>3 See for example the decision of the Authority No. 15-DCC-28 of March 17, 2015, regarding the exclusive control of six retail outlets under the Fly and Atlas brands by But International.</w:t>
      </w:r>
    </w:p>
    <w:p>
      <w:r>
        <w:t xml:space="preserve">7. In this case, the parties are two GSS, simultaneously active in the retail sector of furniture products, bazaar and decoration products, and household appliances.  </w:t>
        <w:br/>
        <w:t xml:space="preserve">1. UPSTREAM MARKETS FOR THE SUPPLY OF FURNITURE PRODUCTS, BAZAAR AND DECORATION PRODUCTS, AND HOUSEHOLD APPLIANCES  </w:t>
        <w:br/>
        <w:t xml:space="preserve">8. Regarding the upstream supply markets, the decisional practice has noted that "producers manufacture specific products or groups of products and are not technically able to easily switch to manufacturing other products without significant costs" and "at the supply level, it can be considered that there are as many markets as there are product families on which the negotiation focuses, each distributor putting various suppliers in competition in each of the markets." Thus, a distribution by product group can be considered relevant.  </w:t>
        <w:br/>
        <w:t xml:space="preserve">9. Specifically regarding the supply of household appliances, furniture, and bazaar and decoration products, the decisional practice, taking into account the organization of the "purchasing" divisions of distributors, has identified the following markets: (i) furniture, (ii) bazaar-decoration, (iii) small household appliances, (iv) large household appliances, (v) cameras/film, (vi) hi-fi/sound devices, (vii) TV/video devices, and (viii) computers/peripherals.  </w:t>
        <w:br/>
        <w:t xml:space="preserve">10. There is no need to challenge this delimitation in the context of the present operation.  </w:t>
        <w:br/>
        <w:t xml:space="preserve">11. In this case, both parties are active, as buyers, in the supply markets of all these product groups.  </w:t>
        <w:br/>
        <w:t xml:space="preserve">2. DOWNSTREAM MARKET OF RETAIL DISTRIBUTION OF FURNITURE PRODUCTS  </w:t>
        <w:br/>
        <w:t xml:space="preserve">12. Furniture and decoration products encompass all products intended to furnish the rooms of a dwelling (chairs, sofas, tables, kitchen elements, bathroom elements, bedding, buffets, storage, desks, etc.).  </w:t>
        <w:br/>
        <w:t xml:space="preserve">13. Regarding the retail sale of furniture products, competition authorities have considered a market for the distribution of furniture products segmented by distribution channel. The stores concerned by the present operation belong to the category of GSS that operate in "the distribution of furniture through retail outlets offering the final consumer a wide assortment of products, excluding decorative items, throughout the year."  </w:t>
        <w:br/>
        <w:t>14. The Authority has also considered a segmentation according to the product range given the differences in price and service offered. In this case, the target is active in the distribution of "low-end" and "mid-range" furniture, as opposed to stores that distribute "high-end" furniture, such as, for example, Roche Bobois, Ligne Roset.</w:t>
      </w:r>
    </w:p>
    <w:p>
      <w:r>
        <w:rPr>
          <w:b/>
        </w:rPr>
        <w:t>[Pages 4–6]</w:t>
      </w:r>
    </w:p>
    <w:p>
      <w:r>
        <w:t>or Cinna. According to the notifying party, segmenting the market based on the range level does not appear relevant insofar as the players present in the low and mid-range would develop products "stylistically similar" to high-end products.</w:t>
      </w:r>
    </w:p>
    <w:p>
      <w:r>
        <w:t>15. In this case, the exact definition of this market can be left open as the conclusions of the competitive analysis remain unchanged, regardless of the assumptions made.</w:t>
      </w:r>
    </w:p>
    <w:p>
      <w:r>
        <w:t>3. DOWNSTREAM MARKET OF RETAIL DISTRIBUTION OF BAZAAR AND DECORATION PRODUCTS</w:t>
      </w:r>
    </w:p>
    <w:p>
      <w:r>
        <w:t>16. The Authority distinguished the distribution of bazaar and decoration products, defined as various objects associated with the distribution of "furnishing" furniture to equip and decorate the home, from that of furniture, due to differences in the assortment of suppliers, in purchasing behaviors, as well as in the functions of the products concerned, with bazaar-decoration products being complementary to furniture.</w:t>
      </w:r>
    </w:p>
    <w:p>
      <w:r>
        <w:t>17. In this case, the exact delimitation of this market can be left open, as the conclusions of the competitive analysis remain unchanged, regardless of the assumptions made.</w:t>
      </w:r>
    </w:p>
    <w:p>
      <w:r>
        <w:t>4. DOWNSTREAM MARKETS OF RETAIL DISTRIBUTION OF HOUSEHOLD APPLIANCES</w:t>
      </w:r>
    </w:p>
    <w:p>
      <w:r>
        <w:t>18. Regarding the retail sale of household appliances, the Authority distinguished three categories of products: "white," "brown," and "grey."</w:t>
      </w:r>
    </w:p>
    <w:p>
      <w:r>
        <w:t>19. The category of "white" products includes in particular cooktops, stoves, ovens, built-in sets, hoods, washing machines, dryers, dishwashers, refrigerators, freezers, small kitchen appliances, and air conditioning products. Regarding the distribution of white products, the decisional practice has considered a sub-segmentation between small and large appliances.</w:t>
      </w:r>
    </w:p>
    <w:p>
      <w:r>
        <w:t>20. The category of "brown" products includes televisions, camcorders, hi-fi and audio equipment, digital devices, and DVD players.</w:t>
      </w:r>
    </w:p>
    <w:p>
      <w:r>
        <w:t>21. The category of "grey" products includes personal computers, screens, peripherals (printers or scanners), keyboards, modular accessories or spare parts (memory cards or additional hard drives), software, and telephony.</w:t>
      </w:r>
    </w:p>
    <w:p>
      <w:r>
        <w:t>22. In this case, the exact delimitation of these markets can be left open, as the conclusions of the competitive analysis remain unchanged, regardless of the assumptions made.</w:t>
      </w:r>
    </w:p>
    <w:p>
      <w:r>
        <w:t>23. Regarding the supply markets, the decisional practice of the competition authorities has retained at least a national dimension, if not a European one.</w:t>
      </w:r>
    </w:p>
    <w:p>
      <w:r>
        <w:t>24. There is no need to challenge this delimitation in the context of the present operation.</w:t>
      </w:r>
    </w:p>
    <w:p>
      <w:r>
        <w:t>2. DOWNSTREAM MARKETS OF RETAIL DISTRIBUTION OF FURNITURE PRODUCTS, BAZAAR AND DECORATION PRODUCTS, AND HOUSEHOLD APPLIANCES</w:t>
      </w:r>
    </w:p>
    <w:p>
      <w:r>
        <w:t>25. Regarding the downstream markets of retail distribution of furniture products, bazaar and decoration products, and household appliances, the competition authorities consider that they are of local dimension. It has been considered that, for this type of purchase, consumers were willing to make a car trip lasting 20 to 45 minutes to reach a store. However, this duration varies depending on the characteristics of each area, such as geography, population density, or the state of supply.</w:t>
      </w:r>
    </w:p>
    <w:p>
      <w:r>
        <w:t>26. For the purposes of this analysis, catchment areas corresponding to a distance of a 20-minute car ride around the target stores located in the Paris region and in the largest provincial cities, and a distance of a 30-minute car ride around the target stores located in the provinces (excluding large cities), have been delineated. However, the exact delimitation of the relevant catchment areas can be left open, as the conclusions of the competitive analysis remain unchanged, regardless of the assumptions made.</w:t>
      </w:r>
    </w:p>
    <w:p>
      <w:r>
        <w:t>III. Competitive Analysis</w:t>
      </w:r>
    </w:p>
    <w:p>
      <w:r>
        <w:t>27. The competitive analysis is based, at the national level, on an estimate of market shares in value. At the local level, however, market shares have been evaluated in terms of sales areas, given the difficulty of reliably estimating the revenues generated by the competing stores of the parties in each relevant area.</w:t>
      </w:r>
    </w:p>
    <w:p>
      <w:r>
        <w:t>1. UPSTREAM MARKETS FOR THE SUPPLY OF FURNITURE PRODUCTS, BAZAAR AND DECORATION PRODUCTS, AND HOUSEHOLD APPLIANCES</w:t>
      </w:r>
    </w:p>
    <w:p>
      <w:r>
        <w:t>28. The notifying party was unable to assess the market shares of the new entity in these markets. However, it argued that they would not be significantly different from the market shares of the parties in the downstream retail distribution markets of the concerned products. However, in these downstream markets, the maximum market shares of But are estimated by the notifying party at [10-20]% in the markets for furniture and decoration products and at less than [10-20]% in the markets for household appliances, regardless of the segmentation retained at the national level. Insofar as, prior to the operation, the target was sourcing from But in furniture, bazaar and decoration products, and household appliances, the operation does not strengthen the negotiating power of the new entity, which is limited given the market shares it holds in the relevant markets.</w:t>
      </w:r>
    </w:p>
    <w:p>
      <w:r>
        <w:t>29. Furthermore, there are other major groups in France present in the distribution of furniture and decoration/bazaar products, such as Ikea and Conforama, and in the distribution of household appliances, such as Fnac/Darty and Boulanger, for example.</w:t>
      </w:r>
    </w:p>
    <w:p>
      <w:r>
        <w:t>30. Therefore, the operation is not likely to harm competition in the supply markets through horizontal effects.</w:t>
      </w:r>
    </w:p>
    <w:p>
      <w:r>
        <w:t>2. DOWNSTREAM MARKETS OF RETAIL DISTRIBUTION OF FURNITURE, DECORATION AND BAZAAR PRODUCTS, AND HOUSEHOLD APPLIANCES</w:t>
      </w:r>
    </w:p>
    <w:p>
      <w:r>
        <w:t>31. According to the notifying party, the 18 retail outlets concerned by the operation did not have sufficient commercial autonomy before the operation to significantly compete with the stores of the But group. Therefore, the competitive structure of the markets would not be modified.</w:t>
      </w:r>
    </w:p>
    <w:p>
      <w:r>
        <w:t>32. In any case, the question of analyzing the commercial autonomy of the target stores can be left open in this case, as even if they are considered sufficiently autonomous from their network head, the operation does not have the effect of harming competition in the relevant markets.</w:t>
      </w:r>
    </w:p>
    <w:p>
      <w:r>
        <w:t>33. The activities of the parties overlap locally in two catchment areas, delineated around the But stores located in Ambérieu-en-Bugey (01) and Chalon-sur-Saône (71).</w:t>
      </w:r>
    </w:p>
    <w:p>
      <w:r>
        <w:t>a) The market for furniture products</w:t>
      </w:r>
    </w:p>
    <w:p>
      <w:r>
        <w:t>34. Following the operation, the combined market shares of the parties in the two relevant catchment areas are as follows:</w:t>
      </w:r>
    </w:p>
    <w:p>
      <w:r>
        <w:t>| Market Share of But | Market Share of Target | Combined Market Share |</w:t>
        <w:br/>
        <w:t>|---------------------|-----------------------|-----------------------|</w:t>
        <w:br/>
        <w:t>| Ambérieu-en-Bugey (01) | [10-20]% | [10-20]% | [30-40]% |</w:t>
        <w:br/>
        <w:t>| Chalon-sur-Saône (71) | [0-5]% | [10-20]% | [10-20]% |</w:t>
      </w:r>
    </w:p>
    <w:p>
      <w:r>
        <w:t>35. In the area around Ambérieu-en-Bugey (01), the combined market shares of the parties amount to [30-40]%. The new entity will continue to face competition from numerous competitors.</w:t>
      </w:r>
    </w:p>
    <w:p>
      <w:r>
        <w:rPr>
          <w:b/>
        </w:rPr>
        <w:t>[Pages 7–8]</w:t>
      </w:r>
    </w:p>
    <w:p>
      <w:r>
        <w:t>35. In the area around Ambérieu-en-Bugey (01), the combined market shares of the parties amount to [30-40]%. The new entity will continue to face competition from numerous retail outlets, including several national brands such as Fly ([10-20]%), Conforama ([10-20]%), and Mobilier de France ([5-10]%).</w:t>
      </w:r>
    </w:p>
    <w:p>
      <w:r>
        <w:t>36. In the area around Chalon-sur-Saône (71), the combined market shares of the parties amount to [10-20]%. The new entity will continue to face competition from numerous retail outlets, including Grand Litier ([10-20]%), Maxiam ([10-20]%), and Conforama ([5-10]%).</w:t>
      </w:r>
    </w:p>
    <w:p>
      <w:r>
        <w:t>37. Consequently, as the market shares of the new entity are relatively limited and the target did not exert real competitive pressure on But, the operation is not likely to raise competition issues in the markets for the distribution of furniture products.</w:t>
      </w:r>
    </w:p>
    <w:p>
      <w:r>
        <w:t>b) The market for decoration and bazaar products</w:t>
      </w:r>
    </w:p>
    <w:p>
      <w:r>
        <w:t>38. Following the operation, the combined market shares of the parties in the two relevant catchment areas are below [10-20%]:</w:t>
        <w:br/>
        <w:t>Market shares of Market shares of Market shares of</w:t>
        <w:br/>
        <w:t>But the target combined</w:t>
        <w:br/>
        <w:t>Ambérieu-en-Bugey (01) [5-10]% [5-10]% [10-20]%</w:t>
        <w:br/>
        <w:t>Chalon-sur-Saône (71) [0-5]% [5-10]% [5-10]%</w:t>
      </w:r>
    </w:p>
    <w:p>
      <w:r>
        <w:t>39. In the area around Ambérieu-en-Bugey (01), the combined market shares of the parties amount to [10-20]%. The new entity will continue to face competition from numerous retail outlets, including several national brands such as Conforama ([0-5]%), Fly ([0-5]%), and La Maison d’Ursule ([10-20]%).</w:t>
      </w:r>
    </w:p>
    <w:p>
      <w:r>
        <w:t>40. In the area around Chalon-sur-Saône (71), the combined market shares of the parties amount to [5-10]%. The new entity will continue to face competition from numerous retail outlets, including several national brands such as Conforama ([5-10]%) and Saint-Maclou ([20-30]%).</w:t>
      </w:r>
    </w:p>
    <w:p>
      <w:r>
        <w:t>41. In each of the relevant catchment areas, the new entity will continue to face competition from numerous retail outlets, including several national brands (Conforama, Fly, and Saint Maclou).</w:t>
      </w:r>
    </w:p>
    <w:p>
      <w:r>
        <w:t>42. Consequently, given these limited market shares, the operation is not likely to raise competition issues in the markets for the distribution of decoration and bazaar products.</w:t>
      </w:r>
    </w:p>
    <w:p>
      <w:r>
        <w:t>c) The market for household appliances</w:t>
      </w:r>
    </w:p>
    <w:p>
      <w:r>
        <w:t>43. Following the operation, the combined market shares of the parties in the two catchment areas will remain below [10-20]%, except for the retail distribution market of white goods in the area of Ambérieu-en-Bugey (01):</w:t>
        <w:br/>
        <w:t xml:space="preserve"> </w:t>
        <w:br/>
        <w:t>Market shares of Market shares of Market shares of</w:t>
        <w:br/>
        <w:t>But the target combined</w:t>
        <w:br/>
        <w:t>Ambérieu-en-Bugey (01) White goods [5-10]% [5-10]% [10-20]%</w:t>
        <w:br/>
        <w:t>Brown goods [0-5]% [0-5]% [5-10]%</w:t>
        <w:br/>
        <w:t>Grey goods [0-5]% [0-5]% [5-10]%</w:t>
        <w:br/>
        <w:t>Total [5-10]% [5-10]% [10-20]%</w:t>
        <w:br/>
        <w:t>Chalon-sur-Saône (71) White goods [0-5]% [5-10]% [10-20]%</w:t>
        <w:br/>
        <w:t>Brown goods [0-5]% [5-10]% [5-10]%</w:t>
        <w:br/>
        <w:t>Grey goods [0-5]% [0-5]% [0-5]%</w:t>
        <w:br/>
        <w:t>Total [0-5]% [5-10]% [5-10]%</w:t>
      </w:r>
    </w:p>
    <w:p>
      <w:r>
        <w:t>44. In the area around Ambérieu-en-Bugey (01), the combined market shares of the parties in the market for household appliances amount to [10-20]%. The new entity will continue to face competition from numerous retail outlets, including several national brands such as Conforama ([0-5]%) and Boulanger ([20-30]%).</w:t>
      </w:r>
    </w:p>
    <w:p>
      <w:r>
        <w:t>45. In the area around Chalon-sur-Saône (71), the combined market shares of the parties in the market for household appliances amount to [5-10]%. The new entity will continue to face competition from numerous retail outlets, including several national brands such as Conforama ([5-10]%) and Boulanger ([30-40]%).</w:t>
      </w:r>
    </w:p>
    <w:p>
      <w:r>
        <w:t>46. Consequently, given these limited market shares, the operation is not likely to raise competition issues in the markets for the distribution of white, brown, and grey goods.</w:t>
      </w:r>
    </w:p>
    <w:p>
      <w:r>
        <w:t>DECIDES</w:t>
      </w:r>
    </w:p>
    <w:p>
      <w:r>
        <w:t>Sole Article: The operation notified under number 16-131 is authorized.</w:t>
      </w:r>
    </w:p>
    <w:p>
      <w:r>
        <w:t>The Vice-President,</w:t>
        <w:br/>
        <w:t>Emmanuel Combe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