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https://www.autoritedelaconcurrence.fr/fr/decision-de-controle-des-concentrations/relative-la-prise-de-controle-exclusif-de-douze-centres-de</w:t>
      </w:r>
    </w:p>
    <w:p>
      <w:r>
        <w:t>Pages translated : 2</w:t>
      </w:r>
    </w:p>
    <w:p/>
    <w:p>
      <w:r>
        <w:rPr>
          <w:b/>
        </w:rPr>
        <w:t>[Pages 1–2]</w:t>
      </w:r>
    </w:p>
    <w:p>
      <w:r>
        <w:t xml:space="preserve">FRENCH REPUBLIC  </w:t>
        <w:br/>
        <w:t xml:space="preserve">Decision No. 24-DCC-186 of August 21, 2024  </w:t>
        <w:br/>
        <w:t xml:space="preserve">regarding the exclusive control acquisition of twelve health centers of the association COSEM Coord Œuvres Sociales by the Ramsay Santé group  </w:t>
        <w:br/>
        <w:t xml:space="preserve">The Competition Authority,  </w:t>
        <w:br/>
        <w:t xml:space="preserve">Having regard to the notification file sent to the mergers department on May 17, 2024, and declared complete on July 23, 2024, concerning the exclusive control acquisition of twelve health centers of the association COSEM Coord Œuvres Sociales by the Ramsay Santé group formalized by two takeover offers dated May 16, 2024, selected by the Paris Commercial Court in a judgment dated June 13, 2024, and an order dated June 28,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a divisible and non-joint takeover offer by Compagnie Générale de Santé, Immobilière de Santé, both controlled by the Ramsay Santé group, Petrus Maguica, and Oxygene Invest for eleven health centers of the association COSEM Coord Œuvres Sociales and an indivisible takeover offer presented by the Association Centre Médical Ramsay Santé France – Saint Etienne for the COSEM center in Saint-Etienne. The target health centers are located in Paris (Miromesnil, Auber, Saint Lazare, Atlas, Magenta, and Saint Michel), Evry, Orléans (Orléans Centre and Orléans la Source), Marseille, Caen, and Saint Etienne.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