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https://www.autoritedelaconcurrence.fr/fr/decision-de-controle-des-concentrations/relative-la-prise-de-controle-exclusif-de-filiales-de-la</w:t>
      </w:r>
    </w:p>
    <w:p>
      <w:r>
        <w:t>Pages translated : 3</w:t>
      </w:r>
    </w:p>
    <w:p/>
    <w:p>
      <w:r>
        <w:rPr>
          <w:b/>
        </w:rPr>
        <w:t>[Pages 1–3]</w:t>
      </w:r>
    </w:p>
    <w:p>
      <w:r>
        <w:t xml:space="preserve">FRENCH REPUBLIC  </w:t>
        <w:br/>
        <w:t xml:space="preserve">Decision No. 10-DCC-178 of December 15, 2010  </w:t>
        <w:br/>
        <w:t xml:space="preserve">regarding the exclusive control of subsidiaries  </w:t>
        <w:br/>
        <w:t xml:space="preserve">of the company MF Développement  </w:t>
        <w:br/>
        <w:t>by the company Groupe Pautric</w:t>
      </w:r>
    </w:p>
    <w:p>
      <w:r>
        <w:t xml:space="preserve">The Competition Authority,  </w:t>
        <w:br/>
        <w:t xml:space="preserve">Having regard to the notification file sent to the merger service on September 30, 2010, and declared complete on November 12, 2010, concerning the acquisition by the company Groupe Pautric of subsidiaries of the company MF Développement, formalized by a transfer protocol signed on September 24,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Groupe Pautric, a simplified joint-stock company, has as its main activity the marketing and distribution of BMW vehicles in the national territory. It holds, through the company SAS SOGEP, the entirety of the capital of the simplified joint-stock companies Pays de Loire Autos, Emeraude avenue, Huchet, Normandy Avenue, Bourgoin Motors, and EURL P.L.M. These companies operate BMW dealerships in Nantes (44), Lyon (69), Rennes (35), Caen (14), and Bourgoin Jallieu (38), respectively.  </w:t>
        <w:br/>
        <w:t xml:space="preserve">2. The company MF Développement, a simplified joint-stock company, is active in the sale of new and used vehicles, in the sale of spare parts, and in repair and maintenance services. It holds the majority of the capital of SAS Etoile Occitane, SARL Etoile Occitane Pamiers, SARL Etoile Occitane Muret, SARL Etoile Occitane Albi, SARL Etoile Occitane Narbonne, SAS Etoile Occitane Carcassonne, and EURL Toulouse Town Car. These companies operate Mercedes-Benz dealerships in Castres (81), Toulouse (31), Muret (31), Albi (81), Carcassonne (11), Narbonne (11), and Toulouse (31). The company Toulouse Town Car also operates a Smart dealership in Toulouse.  </w:t>
        <w:br/>
        <w:t xml:space="preserve">3. The company Groupe Pautric committed, through a transfer protocol signed on September 24, 2010, to acquire from MF Développement, the shares of SAS Etoile Occitane, SARL Etoile Occitane Pamiers, SARL Etoile Occitane Muret, SARL Etoile Occitane Albi, and EURL Toulouse Town Car. The notified operation thus results in the exclusive control of the dealerships in Toulouse, Albi, Castres, and Muret by the company Groupe Pautric, and as such constitutes a concentration within the meaning of Article L. 430-1 of the Commercial Code.  </w:t>
        <w:br/>
        <w:t>4. The companies concerned hold a retail store and have together achieved a consolidated worldwide turnover excluding taxes of more than 75 million euros in 2009 (Groupe Pautric: 185.6 million euros; the concerned subsidiaries of MF Développement: 73.8 million euros). Each of these companies has achieved in France, in the retail trade sector, a turnover exceeding 15 million euros. Given these turnover figures, the operation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1. SERVICE MARKETS  </w:t>
        <w:br/>
        <w:t xml:space="preserve">5. In the automotive distribution sector, the decision-making practice distinguishes: the distribution of new passenger cars intended for private customers; the distribution of new passenger cars intended for professional customers; the distribution of commercial vehicles (notably light utility vehicles); the distribution of used vehicles; the distribution of spare parts and automotive accessories; the distribution of maintenance and repair services for motor vehicles; the distribution of rental services.  </w:t>
        <w:br/>
        <w:t xml:space="preserve">6. There is no need to challenge these delimitations during the examination of the present operation.  </w:t>
        <w:br/>
        <w:t>7. The companies concerned are simultaneously present in each of these markets, except for the market for the distribution of rental services.</w:t>
      </w:r>
    </w:p>
    <w:p>
      <w:r>
        <w:t xml:space="preserve">2. GEOGRAPHICAL DELIMITATION  </w:t>
        <w:br/>
        <w:t xml:space="preserve">8. Regarding the retail sale of new or used motor vehicles, spare parts, and automotive accessories, as well as maintenance and repair services for motor vehicles, the decision-making practice adopts a local definition, with the analysis generally conducted at the departmental level.  </w:t>
        <w:br/>
        <w:t>9. In this case, the dealerships of MF Développement concerned by the operation are located in the municipalities of Toulouse and Muret (Haute Garonne), as well as in Albi and Castres (Tarn). The dealerships of Groupe Pautric are located in the municipalities of Nantes (Loire-Atlantique), Lyon (Rhône), Rennes (Ille et Vilaine), Caen (Calvados), and Bourgoin Jallieu (Isère). The activities of the parties do not overlap and are not located in neighboring departments.</w:t>
      </w:r>
    </w:p>
    <w:p>
      <w:r>
        <w:t xml:space="preserve">III. Competitive analysis  </w:t>
        <w:br/>
        <w:t>10. Given the absence of geographical overlap, the operation is not likely to harm competition in the relevant markets.</w:t>
      </w:r>
    </w:p>
    <w:p>
      <w:r>
        <w:t xml:space="preserve">DECIDES  </w:t>
        <w:br/>
        <w:t xml:space="preserve">Single Article: The operation notified under number 10-165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