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https://www.autoritedelaconcurrence.fr/fr/decision-de-controle-des-concentrations/relative-la-prise-de-controle-exclusif-de-filiales-du</w:t>
      </w:r>
    </w:p>
    <w:p>
      <w:r>
        <w:t>Pages translated : 5</w:t>
      </w:r>
    </w:p>
    <w:p/>
    <w:p>
      <w:r>
        <w:rPr>
          <w:b/>
        </w:rPr>
        <w:t>[Pages 1–3]</w:t>
      </w:r>
    </w:p>
    <w:p>
      <w:r>
        <w:t xml:space="preserve">FRENCH REPUBLIC  </w:t>
        <w:br/>
        <w:t xml:space="preserve">Decision No. 17-DCC-109 of July 25, 2017  </w:t>
        <w:br/>
        <w:t xml:space="preserve">regarding the exclusive control  </w:t>
        <w:br/>
        <w:t xml:space="preserve">of subsidiaries of the Izium group by Comdata  </w:t>
        <w:br/>
        <w:t xml:space="preserve">The Competition Authority,  </w:t>
        <w:br/>
        <w:t xml:space="preserve">Having regard to the notification file submitted in full to the concentrations service on June 26, 2017, regarding the exclusive control of subsidiaries of Izium Group Holding by Comdata, formalized by a purchase promise dated June 6, 2017;  </w:t>
        <w:br/>
        <w:t xml:space="preserve">Having regard to Book IV of the Commercial Code relating to the freedom of prices and competition, and in particular its Articles L. 430-1 to L. 430-7;  </w:t>
        <w:br/>
        <w:t xml:space="preserve">Having regard to the supplementary elements transmitted by the notifying party during the investigation;  </w:t>
        <w:br/>
        <w:t xml:space="preserve">Adopts the following decision:  </w:t>
        <w:br/>
        <w:t xml:space="preserve">I. The concerned companies and the operation  </w:t>
        <w:br/>
        <w:t xml:space="preserve">Comdata is an Italian company, specialized in customer relationship management process services. This company is controlled by the Carlyle Europe Partners IV fund, which is itself managed by companies affiliated with The Carlyle Group.  </w:t>
        <w:br/>
        <w:t xml:space="preserve">Izium Group Holding (hereinafter "IGH") is a company at the head of a group specialized in customer relationship management services through several subsidiaries. Among them, the companies Business Support Services (B2S), Izium, Colorado Conseil et Formation (CCF), B Cust, SC GTD, CMS Cash Finances (hereinafter "the target companies") are the subject of the present operation1.  </w:t>
        <w:br/>
        <w:t xml:space="preserve">The operation, formalized by a purchase promise dated June 6, 2017, consists of the acquisition of the capital of the target companies currently held by IGH2, through a company to be created that Comdata will control.  </w:t>
        <w:br/>
        <w:t xml:space="preserve">1 The operation also concerns the acquisition of [...] % of the capital of the companies Le Mans Pierre and Strasbourg Pierre, without resulting in a change of control over these companies, which remain exclusively controlled by Financière Immo.  </w:t>
        <w:br/>
        <w:t>2 In this case, [...] % of B2S, Izium, B Cust, and CCF, [...] % of SC GTD, and [...] % of CMS Cash Finances.</w:t>
      </w:r>
    </w:p>
    <w:p>
      <w:r>
        <w:t xml:space="preserve">In that it results in the exclusive control of the target companies by Comdata, the notified operation constitutes a concentration operation within the meaning of Article L. 430-1 of the Commercial Code.  </w:t>
        <w:br/>
        <w:t xml:space="preserve">The companies concerned together achieve a total worldwide turnover excluding taxes of more than 150 million euros (The Carlyle Group: [...] euros for the financial year ending December 31, 2016; target companies: [...] euros for the same financial year). Each of these companies has achieved a turnover in France exceeding 50 million euros (The Carlyle Group: [...] euros for the financial year ending December 31, 2016; target companies: [...] euros for the same financial year). Furthermore, the turnover of the Izium group does not exceed 250 million euros in the European Union and is only above 25 million euros in France.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 xml:space="preserve">II. Delimitation of the relevant markets  </w:t>
        <w:br/>
        <w:t xml:space="preserve">The parties are simultaneously active in the markets for IT services (A) and outsourced call centers (B).  </w:t>
        <w:br/>
        <w:t xml:space="preserve">A. THE MARKETS FOR IT SERVICES  </w:t>
        <w:br/>
        <w:t xml:space="preserve">1. MARKET FOR SERVICES  </w:t>
        <w:br/>
        <w:t xml:space="preserve">European3 and national4 competition authorities have identified, within the market for IT services, seven functional categories of services: (i) global management services, (ii) enterprise management services, (iii) software development and integration, (iv) consulting, (v) software maintenance and logistical support, (vi) maintenance of IT equipment and logistical support, and (vii) education and training. However, it has not been excluded5 that these seven categories of services could be considered as belonging to a global market for IT services, to the extent that clients generally seek a service integrating all the activities described above, and that there is a high degree of substitutability on the supply side.  </w:t>
        <w:br/>
        <w:t xml:space="preserve">3 Decisions of the European Commission M.2365 Schlumberger / Sema, M.3555 Hewlett – Packard / Synstar, M.3571 IBM / Maerskdate / DMData, M.3995 Belgacom / Telindus, and M.5301 Cap Gemini / BAS.  </w:t>
        <w:br/>
        <w:t xml:space="preserve">4 Decisions of the Competition Authority No. 11-DCC-20 of February 7, 2011, regarding the exclusive control of the Aptus group by the Ausy group, No. 11-DCC-139 of September 20, 2011, regarding the exclusive control of Large Network Administration and its subsidiary FGD by SCC France, No. 14-DCC-181 of December 9, 2014, regarding the exclusive control of the Desk Group companies and Holding Lease France by Naxicap Partners, No. 16-DCC-22 of February 15, 2016, regarding the exclusive control of Dactyl Buro du Centre and OMR Impression by the Konica Minolta group, and No. 17-DCC-17 of February 7, 2017, regarding the exclusive control of Feel Europe Groupe by the Société pour l’Information Industrielle group.  </w:t>
        <w:br/>
        <w:t>5 Letter from the Minister of Economy C2006-132 of December 19, 2006, to the board of France Télécom, regarding a concentration in the software development sector.</w:t>
      </w:r>
    </w:p>
    <w:p>
      <w:r>
        <w:t xml:space="preserve">Different alternative or complementary segmentations have been considered6 according to:  </w:t>
        <w:br/>
        <w:t xml:space="preserve">- the type of clientele: SMEs-SMIs or large accounts;  </w:t>
        <w:br/>
        <w:t xml:space="preserve">- the types of information and communication systems: (i) management application systems, which include IT services used to fulfill a horizontal function within companies or administrations, (ii) embedded industrial technical scientific application systems, (iii) generic application systems, (iv) IT infrastructure systems, and (v) enterprise communication and network infrastructure systems;  </w:t>
        <w:br/>
        <w:t xml:space="preserve">- the sector of activity: (i) communications, (ii) education, (iii) energy and local networks, (iv) financial services, (v) the public sector, (vi) health, (vii) industry, (viii) commerce and distribution, (ix) services, and (x) transport.  </w:t>
        <w:br/>
        <w:t xml:space="preserve">There is no need to challenge these segmentations during the analysis of the present operation.  </w:t>
        <w:br/>
        <w:t xml:space="preserve">2. GEOGRAPHIC MARKET  </w:t>
        <w:br/>
        <w:t xml:space="preserve">The Competition Authority has considered that the market for IT services is of national dimension, notably due to the necessity for service providers to communicate regularly in the language of their clients and to maintain a relative proximity to them7.  </w:t>
        <w:br/>
        <w:t xml:space="preserve">The European Commission has left the question of the exact delineation of these markets open, not excluding the existence of a European dimension IT services market8.  </w:t>
        <w:br/>
        <w:t xml:space="preserve">However, in this case, as the operation does not lead to any overlap of activities between the parties in terms of IT services in France, the competitive analysis will be conducted at the European level.  </w:t>
        <w:br/>
        <w:t xml:space="preserve">B. THE MARKETS FOR OUTSOURCED CALL CENTERS  </w:t>
        <w:br/>
        <w:t xml:space="preserve">1. MARKET FOR SERVICES  </w:t>
        <w:br/>
        <w:t xml:space="preserve">The call center sector includes both internal and outsourced activities. The former are managed internally by companies, while the latter are managed by subcontractors. Outsourcing can allow the client company to avoid heavy investments in equipment, premises, and necessary technology, to manage overflow during peak periods, or to respond to a complex need9.  </w:t>
        <w:br/>
        <w:t xml:space="preserve">The decision-making practice of competition authorities has considered the existence of a market for outsourced call centers, covering a variety of services extending from services of  </w:t>
        <w:br/>
        <w:t xml:space="preserve">6 See in particular decisions No. 14-DCC-181, No. 16-DCC-22, and No. 17-DCC-17 mentioned above.  </w:t>
        <w:br/>
        <w:t xml:space="preserve">7 Ibid.  </w:t>
        <w:br/>
        <w:t xml:space="preserve">8 See, for example, the aforementioned decision M.5301.  </w:t>
        <w:br/>
        <w:t>9 Decision of the Authority No. 16-DCC-202 of December 12, 2016, regarding the exclusive control of Intelcia Group by Altice International.</w:t>
      </w:r>
    </w:p>
    <w:p>
      <w:r>
        <w:rPr>
          <w:b/>
        </w:rPr>
        <w:t>[Pages 4–5]</w:t>
      </w:r>
    </w:p>
    <w:p>
      <w:r>
        <w:t xml:space="preserve">client relations, such as switchboard or billing services, to technical support services, such as helplines10.  </w:t>
        <w:br/>
        <w:t xml:space="preserve">A segmentation based on the value of contracts between large contracts over one million euros and contracts under one million euros has also been considered11.  </w:t>
        <w:br/>
        <w:t xml:space="preserve">In the present case, the question of the exact delineation of these markets can be left open, as the conclusions of the competitive analysis remain unchanged, regardless of the segmentations adopted.  </w:t>
        <w:br/>
        <w:t xml:space="preserve">2. GEOGRAPHIC MARKET  </w:t>
        <w:br/>
        <w:t xml:space="preserve">Decision-making practice considers that the markets for outsourced call centers are of national or supranational dimension12.  </w:t>
        <w:br/>
        <w:t xml:space="preserve">In the present case, the question of the exact delineation of these markets can be left open, as the conclusions of the competitive analysis remain unchanged, regardless of the definition adopted.  </w:t>
        <w:br/>
        <w:t xml:space="preserve">III. Competitive Analysis  </w:t>
        <w:br/>
        <w:t xml:space="preserve">As for the markets for IT services, the activities of the parties do not overlap in France.  </w:t>
        <w:br/>
        <w:t xml:space="preserve">At the European level, the new entity will hold a global market share of less than [0-5]% (Comdata: [0-5]%; Izium: [0-5]%). This market share is below [0-5]%, regardless of the segment examined.  </w:t>
        <w:br/>
        <w:t xml:space="preserve">As for the markets for outsourced call centers, the new entity will hold a market share of less than 10% at the European level or in France, regardless of the segment examined.  </w:t>
        <w:br/>
        <w:t xml:space="preserve">Therefore, the operation is not likely to harm competition in the relevant markets.  </w:t>
        <w:br/>
        <w:t xml:space="preserve">10 See in particular the decisions of the European Commission M.2598, TDC / CMG / MIGWAY JV of October 4, 2001, M.4721, AIG Capital Partners / Bulgarian Telecommunications Company of July 27, 2007, and the decisions of the Competition Authority n° 10-DCC-67 of June 25, 2010 regarding the exclusive control of the company Aurénis by the company La Financière Patrimoniale d’Investissement, n° 12-DCC-66 of May 22, 2012 regarding the exclusive control by Activa Capital of the company Financière Taoris SAS and the company Laser Contact SAS, and n° 16-DCC-202 mentioned above.  </w:t>
        <w:br/>
        <w:t xml:space="preserve">11 Letter from the Minister of Economy, Finance and Industry dated July 18, 2002 to the board of the company Armatis regarding a concentration in the sector of specialized network services.  </w:t>
        <w:br/>
        <w:t xml:space="preserve">12 Decision n° 16-DCC-202 mentioned above.  </w:t>
        <w:br/>
        <w:t>4</w:t>
      </w:r>
    </w:p>
    <w:p>
      <w:r>
        <w:t xml:space="preserve">DECIDES  </w:t>
        <w:br/>
        <w:t xml:space="preserve">Sole Article: The operation notified under number 17-118 is authorized.  </w:t>
        <w:br/>
        <w:t xml:space="preserve">The President,  </w:t>
        <w:br/>
        <w:t xml:space="preserve">Isabelle de Silva  </w:t>
        <w:br/>
        <w:t xml:space="preserve"> Competition Authority  </w:t>
        <w:br/>
        <w:t>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