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https://www.autoritedelaconcurrence.fr/fr/decision-de-controle-des-concentrations/relative-la-prise-de-controle-exclusif-de-financiere-groupe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22-DCC-214 of November 9, 2022  </w:t>
        <w:br/>
        <w:t xml:space="preserve">regarding the exclusive control acquisition of Financière Groupe Proxiserve  </w:t>
        <w:br/>
        <w:t xml:space="preserve">by Vauban Infrastructure Partners  </w:t>
        <w:br/>
        <w:t xml:space="preserve">The Competition Authority,  </w:t>
        <w:br/>
        <w:t xml:space="preserve">Having regard to the complete notification file sent to the mergers department on October 6, 2022  </w:t>
        <w:br/>
        <w:t xml:space="preserve">concerning the exclusive control acquisition of the company Financière Groupe Proxiserve by Vauban  </w:t>
        <w:br/>
        <w:t xml:space="preserve">Infrastructure Partners, formalized by a sale option dated July 22,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Vauban Infrastructure  </w:t>
        <w:br/>
        <w:t xml:space="preserve">Partners, a management company specialized in infrastructure investments, of the company  </w:t>
        <w:br/>
        <w:t xml:space="preserve">Financière Groupe Proxiserve, a specialist in energy services. It constitutes a concentration operation  </w:t>
        <w:br/>
        <w:t xml:space="preserve">within the meaning of Article L. 430-1 of the Commercial Code. Given the turnover generated by the  </w:t>
        <w:br/>
        <w:t xml:space="preserve">concerned companies, the operation does not fall under the jurisdiction of the European Union. On the  </w:t>
        <w:br/>
        <w:t xml:space="preserve">other hand, the control thresholds mentioned in point I of Article L. 430-2 of the Commercial Code are  </w:t>
        <w:br/>
        <w:t xml:space="preserve">exceeded. This operation is therefore subject to the provisions of Articles L. 430-3 and following of the  </w:t>
        <w:br/>
        <w:t xml:space="preserve">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22-217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