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https://www.autoritedelaconcurrence.fr/fr/decision-de-controle-des-concentrations/relative-la-prise-de-controle-exclusif-de-fonciere-paris</w:t>
      </w:r>
    </w:p>
    <w:p>
      <w:r>
        <w:t>Pages translated : 5</w:t>
      </w:r>
    </w:p>
    <w:p/>
    <w:p>
      <w:r>
        <w:rPr>
          <w:b/>
        </w:rPr>
        <w:t>[Pages 1–3]</w:t>
      </w:r>
    </w:p>
    <w:p>
      <w:r>
        <w:t xml:space="preserve">FRENCH REPUBLIC  </w:t>
        <w:br/>
        <w:t xml:space="preserve">Decision No. 13-DCC-130 of September 10, 2013  </w:t>
        <w:br/>
        <w:t xml:space="preserve">regarding the exclusive control of Foncière Paris France by  </w:t>
        <w:br/>
        <w:t>Cofitem-Cofimur</w:t>
      </w:r>
    </w:p>
    <w:p>
      <w:r>
        <w:t xml:space="preserve">The Competition Authority,  </w:t>
        <w:br/>
        <w:t xml:space="preserve">Having regard to the notification file sent to the merger service on July 23, 2013, and declared complete on August 5, 2013, regarding the exclusive control of Foncière Paris France by Cofitem-Cofimur, formalized by a draft merger agreement dated July 24, 2013, and approved by the boards of directors of Cofitem-Cofimur and Foncière Paris France on July 30, 2013;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Cofitem-Cofimur is a real estate company, listed on Euronext Paris, active in the sector of leasing office and commercial or professional real estate located in Paris, the Paris region, and in the provinces, as well as in the hotel industry. Cofitem-Cofimur also engaged in real estate leasing activities, which were abandoned in June 2013. The leasing portfolio of Cofitem-Cofimur is now being managed in run-off. Its capital is distributed among several institutional shareholders, none of whom holds more than 21% of the capital and is able to exert decisive influence.  </w:t>
        <w:br/>
        <w:t>2. Foncière Paris France (hereinafter "FPF") is a real estate company whose assets consist of office buildings and premises intended for other activities located in Paris and the Paris region. Its capital is held by several institutional shareholders, among which Cofitem-Cofimur (holding 14.56%), none of whom holds a majority or veto rights over FPF's strategic decisions. FPF has eight subsidiaries whose purpose is the acquisition, management, and leasing of real estate, properties, and real estate rights.</w:t>
      </w:r>
    </w:p>
    <w:p>
      <w:r>
        <w:t xml:space="preserve">3. The notified operation, formalized by a draft merger agreement dated July 24, 2013, will consist of the dissolution of FPF and the absorption of its assets by Cofitem-Cofimur, with the other shareholders of FPF receiving shares of Cofitem-Cofimur. As it results in the exclusive control of FPF by Cofitem-Cofimur, the operation constitutes a concentration within the meaning of Article L. 430-1 of the Commercial Code.  </w:t>
        <w:br/>
        <w:t>4. The companies concerned together achieve a total worldwide turnover of more than 150 million euros (Cofitem-Cofimur: [...] euros for the fiscal year ending December 31, 2012; FPF: [...] euros for the same fiscal year). They have achieved, in France, a turnover exceeding 50 million euros since these turnover figures are entirely realized in France.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THE RELEVANT SERVICE MARKETS  </w:t>
        <w:br/>
        <w:t xml:space="preserve">5. The national and community competition authorities have considered, while leaving the question open, various segmentations in the real estate services sector (i) according to the recipients of the services, the properties being intended either for individuals, the concerned buildings being for residential use, or for businesses, the concerned buildings being for commercial or professional use, (ii) the pricing method, between free residential real estate and social or intermediate housing, the latter being part of a specific regulatory framework in which the State plays an important role, both in terms of financial aid and allocation of housing, (iii) the type of activity carried out in the premises (offices, commercial premises, and other activity premises such as warehouses or hotels), and (iv) the nature of the services or goods offered.  </w:t>
        <w:br/>
        <w:t xml:space="preserve">6. For this last segmentation axis, the following services have been identified:  </w:t>
        <w:br/>
        <w:t xml:space="preserve">(i) real estate promotion which includes construction and sale activities of real estate properties;  </w:t>
        <w:br/>
        <w:t xml:space="preserve">(ii) real estate asset management for own account;  </w:t>
        <w:br/>
        <w:t xml:space="preserve">(iii) real estate asset management for third parties (institutional investors, mainly banks and insurance companies) which covers advisory and real estate portfolio management (arbitrage and asset valuation), structuring real estate investment operations, and management of real estate assets and specialized investment vehicles (notably real estate civil companies);  </w:t>
        <w:br/>
        <w:t xml:space="preserve">(iv) property management which covers the activities of managing properties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leasing operations.  </w:t>
        <w:br/>
        <w:t>7. In the case at hand, the parties to the operation are simultaneously active in the management for own account of office real estate assets.</w:t>
      </w:r>
    </w:p>
    <w:p>
      <w:r>
        <w:t xml:space="preserve">B. THE GEOGRAPHICAL MARKETS  </w:t>
        <w:br/>
        <w:t xml:space="preserve">8. The French and community competition authorities have considered that the markets related to the real estate sector are of a local dimension, while leaving the question open.  </w:t>
        <w:br/>
        <w:t>9. The parties to the present operation are simultaneously active in the management for own account of office real estate assets in Île-de-France, more specifically in Paris (75), in Hauts-de-Seine (92), and in Val-de-Marne (94).</w:t>
      </w:r>
    </w:p>
    <w:p>
      <w:r>
        <w:rPr>
          <w:b/>
        </w:rPr>
        <w:t>[Pages 4–5]</w:t>
      </w:r>
    </w:p>
    <w:p>
      <w:r>
        <w:t>10. For the Île-de-France region, the Minister of Economy noted that "the Parisian region has particular properties of continuity in urban areas. Indeed, there is a vast, highly urbanized, and homogeneous area covering most of Île-de-France, served by a comprehensive transport network; residents are always able to choose between different parts of the region. This substitutability leads to a convergence in prices. Therefore, the regional level is the most appropriate for competitive analysis." For other regions, competition authorities have conducted their competitive analyses at the regional or sub-regional level.</w:t>
      </w:r>
    </w:p>
    <w:p>
      <w:r>
        <w:t>11. In the case at hand, the activities of the parties overlap in Île-de-France. The analysis will therefore be conducted at the level of the Île-de-France region and at the departmental level. The question of the exact delineation of product and geographical markets in the real estate sector may, however, be left open insofar as the conclusions of the competitive analysis of the present operation would remain unchanged regardless of the solutions adopted.</w:t>
      </w:r>
    </w:p>
    <w:p>
      <w:r>
        <w:t>III. Competitive Analysis</w:t>
      </w:r>
    </w:p>
    <w:p>
      <w:r>
        <w:t>12. The notifying party estimated the size of the market for office management for own account in the Île-de-France region at 51.2 million m². Cofitem-Cofimur and FPF manage respectively […] m² and […] m² of offices in this region, totaling less than [0-5]% of the market.</w:t>
      </w:r>
    </w:p>
    <w:p>
      <w:r>
        <w:t>13. At the departmental level, the notifying party estimated the size of the market at 16 million m² for Paris, 11.5 million m² for Hauts-de-Seine, and 3.6 million m² for Val-de-Marne. In such markets, the share of the new entity would be less than [0-5]% in Paris and [0-5]% in the other departments.</w:t>
      </w:r>
    </w:p>
    <w:p>
      <w:r>
        <w:t>14. The markets for office management for own account are highly fragmented, and the merged entity will face competition from numerous operators such as real estate companies, including listed real estate investment companies Gecina, Cilic, Unibail, Société Foncière Lyonnaise, or Klépierre, as well as insurance companies, investment funds, and banks.</w:t>
      </w:r>
    </w:p>
    <w:p>
      <w:r>
        <w:t>15. Consequently, the present operation is not likely to harm competition in the relevant markets.</w:t>
      </w:r>
    </w:p>
    <w:p>
      <w:r>
        <w:t>DECIDES</w:t>
      </w:r>
    </w:p>
    <w:p>
      <w:r>
        <w:t>Sole Article: The operation notified under number 13-083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