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https://www.autoritedelaconcurrence.fr/fr/decision-de-controle-des-concentrations/relative-la-prise-de-controle-exclusif-de-fonds-de-0</w:t>
      </w:r>
    </w:p>
    <w:p>
      <w:r>
        <w:t>Pages translated : 2</w:t>
      </w:r>
    </w:p>
    <w:p/>
    <w:p>
      <w:r>
        <w:rPr>
          <w:b/>
        </w:rPr>
        <w:t>[Pages 1–2]</w:t>
      </w:r>
    </w:p>
    <w:p>
      <w:r>
        <w:t xml:space="preserve">FRENCH REPUBLIC  </w:t>
        <w:br/>
        <w:t xml:space="preserve">Decision No. 19-DCC-197 of October 24, 2019  </w:t>
        <w:br/>
        <w:t xml:space="preserve">regarding the exclusive control acquisition of business assets operated  </w:t>
        <w:br/>
        <w:t xml:space="preserve">under the Auchan and Chronodrive brands by Aldi Sarl  </w:t>
        <w:br/>
        <w:t xml:space="preserve">The Competition Authority,  </w:t>
        <w:br/>
        <w:t xml:space="preserve">Having regard to the notification file sent to the mergers department on September 9, 2019, declared complete on September 30, 2019, concerning the exclusive control acquisition by several companies controlled by Aldi Sarl, of four business assets of the Auchan company, formalized by several promises of sale of business assets dated July 29, 2019;  </w:t>
        <w:br/>
        <w:t xml:space="preserve">Having regard to Book IV of the Commercial Code relating to the freedom of prices and competition, and in particular its Articles L. 430-1 to L. 430-7;  </w:t>
        <w:br/>
        <w:t xml:space="preserve">Having regard to the additional elements transmitted by the notifying parties during the investigation;  </w:t>
        <w:br/>
        <w:t xml:space="preserve">Adopts the following decision:  </w:t>
        <w:br/>
        <w:t xml:space="preserve">1. The notified operation consists of the exclusive control acquisition by Aldi Sarl, through its subsidiaries Aldi Marché Cuincy, Aldi Marché Cestas, Aldi Ennery, Aldi Marché Honfleur, and Immaldi et Compagnie SAS, of several retail business assets predominantly focused on food under the Auchan brand. It constitutes a concentration within the meaning of Article L. 430-1 of the Commercial Code. Given the turnover generated by the companies concerned, the operation does not fall under the jurisdiction of the European Union. However, the control thresholds mentioned in II relating to retail trade in Article L. 430-2 of the Commercial Code are exceeded. This operation is therefore subject to the provisions of Articles L. 430-3 and following of the Commercial Code relating to economic concentration.  </w:t>
        <w:br/>
        <w:t xml:space="preserve">2. The markets primarily concerned by the operation are the markets for retail distribution predominantly focused on food, which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19-231 is authorized.  </w:t>
        <w:br/>
        <w:t xml:space="preserve">Certified true copy of the original  </w:t>
        <w:br/>
        <w:t xml:space="preserve">The Vice-President,  </w:t>
        <w:br/>
        <w:t xml:space="preserve">The Head of the Mergers Department  </w:t>
        <w:br/>
        <w:t xml:space="preserve">Emmanuel Combe  </w:t>
        <w:br/>
        <w:t>Étienne Chantrel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