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https://www.autoritedelaconcurrence.fr/fr/decision-de-controle-des-concentrations/relative-la-prise-de-controle-exclusif-de-fonds-de-1</w:t>
      </w:r>
    </w:p>
    <w:p>
      <w:r>
        <w:t>Pages translated : 2</w:t>
      </w:r>
    </w:p>
    <w:p/>
    <w:p>
      <w:r>
        <w:rPr>
          <w:b/>
        </w:rPr>
        <w:t>[Pages 1–2]</w:t>
      </w:r>
    </w:p>
    <w:p>
      <w:r>
        <w:t xml:space="preserve">FRENCH REPUBLIC  </w:t>
        <w:br/>
        <w:t xml:space="preserve">Decision No. 22-DCC-79 of May 3, 2022  </w:t>
        <w:br/>
        <w:t xml:space="preserve">regarding the exclusive control acquisition of automotive dealership business assets belonging to the company NDN Paris by the company Robert Rousseau Automobile  </w:t>
        <w:br/>
        <w:t xml:space="preserve">The Competition Authority,  </w:t>
        <w:br/>
        <w:t xml:space="preserve">Having regard to the notification file sent to the mergers department on March 29, 2022, declared complete on April 21, 2022, concerning the exclusive control acquisition of automotive dealership business assets belonging to the company NDN Paris by the company Robert Rousseau Automobile, formalized by a business asset transfer agreement dated March 18, 2022;  </w:t>
        <w:br/>
        <w:t xml:space="preserve">Having regard to Book IV of the Commercial Code relating to the freedom of prices and competition, and in particular its Articles L. 430-1 to L. 430-7;  </w:t>
        <w:br/>
        <w:t xml:space="preserve">Having regard to the elements communicated by the notifying party during the investigation;  </w:t>
        <w:br/>
        <w:t xml:space="preserve">Adopts the following decision:  </w:t>
        <w:br/>
        <w:t xml:space="preserve">1. The notified operation consists of the exclusive control acquisition by the company Robert Rousseau Automobile of automotive dealership business assets of Nissan and Kia brands belonging to the company NDN Paris located in Saint-Brice-sous-Forêt (95), Saint-Gratien (95), Saint-Ouen-l’Aumône (95), and Sartrouville (78). The operation constitutes a concentration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22-080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