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https://www.autoritedelaconcurrence.fr/fr/decision-de-controle-des-concentrations/relative-la-prise-de-controle-exclusif-de-fonds-de-commerce</w:t>
      </w:r>
    </w:p>
    <w:p>
      <w:r>
        <w:t>Pages translated : 4</w:t>
      </w:r>
    </w:p>
    <w:p/>
    <w:p>
      <w:r>
        <w:rPr>
          <w:b/>
        </w:rPr>
        <w:t>[Pages 1–3]</w:t>
      </w:r>
    </w:p>
    <w:p>
      <w:r>
        <w:t xml:space="preserve">FRENCH REPUBLIC  </w:t>
        <w:br/>
        <w:t xml:space="preserve">Decision No. 13-DCC-68 of June 19, 2013  </w:t>
        <w:br/>
        <w:t>regarding the exclusive control of business assets of the Carrefour group by ITM Entreprises</w:t>
      </w:r>
    </w:p>
    <w:p>
      <w:r>
        <w:t xml:space="preserve">The Competition Authority,  </w:t>
        <w:br/>
        <w:t xml:space="preserve">Having regard to the notification file submitted in full to the merger service on May 15, 2013, regarding the exclusive control of the food-dominant business assets operated by the companies Lodiaf and Lovauto in Louviers (27) by ITM Entreprises, formalized by a protocol agreement signed on April 30, 2013;  </w:t>
        <w:br/>
        <w:t xml:space="preserve">Having regard to Book IV of the Commercial Code relating to price and competition freedom, and in particular Articles L. 430-1 to L. 430-7;  </w:t>
        <w:br/>
        <w:t xml:space="preserve">Having regard to the supplementary elements submitted by the parties during the investigation;  </w:t>
        <w:br/>
        <w:t>Adopts the following decision:</w:t>
      </w:r>
    </w:p>
    <w:p>
      <w:r>
        <w:t xml:space="preserve">I. The companies concerned and the operation  </w:t>
        <w:br/>
        <w:t xml:space="preserve">1. The company ITM Entreprises, 100% controlled by the civil company of the Mousquetaires, itself held by 1,403 individuals known as "associated members," leads and animates the network of independent merchants known as the "Groupement des Mousquetaires." As a franchisor, ITM Entreprises' main activity is to animate a network of sales points, both food and non-food, operated by independent merchants under the following brands: Intermarché, Ecomarché, Netto, Restaumarché, Poivre Rouge, Bricomarché, and Roady. This management is carried out notably through the signing and monitoring of brand contracts with the companies operating these sales points. ITM Entreprises also provides its franchisees with various services for prospecting, consulting, training, etc. Finally, it offers franchisees the opportunity to benefit from advantageous supply conditions from its national and regional subsidiaries, as well as from external suppliers referenced outside the "Groupement des Mousquetaires."  </w:t>
        <w:br/>
        <w:t>2. The target business assets are a hypermarket under the Carrefour Market brand, with a sales area of 5,700 m², and a gas station located in the city of Louviers (27), currently controlled by the Carrefour group, through its subsidiaries Lodiaf and Lovauto.</w:t>
      </w:r>
    </w:p>
    <w:p>
      <w:r>
        <w:t xml:space="preserve">3. This operation follows the acquisition by ITM from Carrefour of 11 business assets located in Champagné (72), Rennes (35), Brebières (62), Campagne-les-Wardrecques (62), Hoymille (59), La Chapelle Launay (44), Concarneau (29), Rosporden (29), Hennebont (56), Loudéac (22), and Barbezieux (16). These acquisitions were authorized by the Competition Authority on December 27, 2012.  </w:t>
        <w:br/>
        <w:t xml:space="preserve">4. The acquisitions already completed and the one contemplated constitute a concentration within the meaning of Article L. 430-1 of the Commercial Code. Indeed, in accordance with Article 5, paragraph 2, second subparagraph, of Regulation No. 139/2004 to which Article L. 430-2 of the Commercial Code refers, "(...) two or more transactions within the meaning of the first subparagraph that have taken place over a period of two years between the same persons or companies are to be considered as a single concentration occurring on the date of the last transaction." Under these conditions, given that a period of less than two years must elapse between these two transactions, it should be considered that this is a single operation.  </w:t>
        <w:br/>
        <w:t xml:space="preserve">5. As it results in the exclusive control of the business assets operated by the companies Lodiaf and Lovauto by the ITM Entreprises group, the notified operation is indeed a concentration within the meaning of Article L. 430-1 of the Commercial Code.  </w:t>
        <w:br/>
        <w:t>6. The companies concerned operate several retail stores and together achieve a total worldwide turnover of more than 75 million (ITM: […] euros of worldwide turnover for the 2011 financial year; target business assets: […] euros of turnover for the same financial year). The companies concerned achieve in France in the retail sector a turnover exceeding 15 million euros (ITM: […] euros in France for the 2011 financial year; target business assets: […] euros of turnover for the same financial year). Given these turnover figures, the operation does not have a community dimension.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7. According to the constant practice of national and community competition authorities, two categories of markets can be defined in the food-dominant distribution sector. These are, on the one hand, "downstream" markets, of local dimension, which bring together retail companies and consumers for the sale of consumer goods, and, on the other hand, "upstream" markets for supplying retail companies with everyday consumer goods, of national dimension.</w:t>
      </w:r>
    </w:p>
    <w:p>
      <w:r>
        <w:t xml:space="preserve">A. DOWNSTREAM DISTRIBUTION MARKETS  </w:t>
        <w:br/>
        <w:t xml:space="preserve">1. SERVICE MARKETS  </w:t>
        <w:br/>
        <w:t xml:space="preserve">8. Regarding the retail sale of everyday consumer goods, competition authorities, both community and national,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  </w:t>
        <w:br/>
        <w:t xml:space="preserve">9. Hypermarkets are usually defined as predominantly food stores with a legal sales area exceeding 2,500 m².  </w:t>
        <w:br/>
        <w:t>10. In this case, the companies Lodiaf and Lovauto operate a business asset under the Carrefour Market brand with a sales area of 5,700 m², which therefore falls into the category of hypermarkets.</w:t>
      </w:r>
    </w:p>
    <w:p>
      <w:r>
        <w:t xml:space="preserve">2. GEOGRAPHICAL DELIMITATION  </w:t>
        <w:br/>
        <w:t xml:space="preserve">11. In its recent decisions regarding operations concerning hypermarkets or supermarkets, the Competition Authority has recalled that depending on the size of the stores concerned, the conditions of competition should be assessed in two different areas:  </w:t>
        <w:br/>
        <w:t xml:space="preserve">- a first market where the demand from consumers in an area meets the supply of hypermarkets that they can access within less than 30 minutes of driving and which are, from their point of view, substitutable for each other;  </w:t>
        <w:br/>
        <w:t xml:space="preserve">- a second market where the demand from consumers meets the supply of supermarkets and equivalent forms of commerce located within less than 15 minutes of driving time. These latter forms of commerce may include, in addition to supermarkets, hypermarkets located near consumers and discount stores.  </w:t>
        <w:br/>
        <w:t>12. Other criteria may nevertheless be taken into account to assess the impact of a concentration on the competitive situation in retail distribution markets, which may lead to refining, in the specific case, the usual delimitations presented above.</w:t>
      </w:r>
    </w:p>
    <w:p>
      <w:r>
        <w:t xml:space="preserve">B. UPSTREAM SUPPLY MARKETS  </w:t>
        <w:br/>
        <w:t xml:space="preserve">13. Regarding supply markets, the European Commission has recognized the existence of national dimension markets by major product groups, a delimitation followed by national authorities.  </w:t>
        <w:br/>
        <w:t>14. There is no need to challenge this delimitation in the context of the present operation.</w:t>
      </w:r>
    </w:p>
    <w:p>
      <w:r>
        <w:rPr>
          <w:b/>
        </w:rPr>
        <w:t>[Pages 4–4]</w:t>
      </w:r>
    </w:p>
    <w:p>
      <w:r>
        <w:t xml:space="preserve">III. Competitive Analysis  </w:t>
        <w:br/>
        <w:t xml:space="preserve">A. DOWNSTREAM FOOD DISTRIBUTION MARKET  </w:t>
        <w:br/>
        <w:t xml:space="preserve">15. In the market comprising hypermarkets located within a 30-minute driving radius around Louviers, the target store represents [5-10]% of the sales area. Other ITM-branded stores in this catchment area represent [10-20]% of the sales area. Following the contemplated operation, the market share of the ITM group will therefore rise to [20-30]%. Hypermarkets under the brands of the Carrefour, Cora, Auchan, Système U, and Leclerc groups are also present in this area.  </w:t>
        <w:br/>
        <w:t xml:space="preserve">16. The market comprising supermarkets and equivalent forms of trade located within a 15-minute driving time does not include, apart from the target hypermarket, any other ITM-branded store.  </w:t>
        <w:br/>
        <w:t xml:space="preserve">17. Consequently, the operation is not likely to harm competition in the markets concerned.  </w:t>
        <w:br/>
        <w:t xml:space="preserve">B. UPSTREAM SUPPLY MARKET  </w:t>
        <w:br/>
        <w:t xml:space="preserve">18. Regarding the upstream supply markets, it should be noted that the operation is limited to a store that will represent only a marginal part of the revenue generated by the ITM group in France. The acquisition of control over the business assets operated by Lodiaf and Lovauto is therefore not likely to significantly strengthen the purchasing power of the ITM group, across all products as well as by major product groups.  </w:t>
        <w:br/>
        <w:t xml:space="preserve">19. Consequently, the operation is not likely to harm competition in either the downstream market or the upstream supply market.  </w:t>
        <w:br/>
        <w:t xml:space="preserve">DECIDES  </w:t>
        <w:br/>
        <w:t xml:space="preserve">Sole Article: The operation notified under number 13-070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