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https://www.autoritedelaconcurrence.fr/fr/decision-de-controle-des-concentrations/relative-la-prise-de-controle-exclusif-de-france-cars-par</w:t>
      </w:r>
    </w:p>
    <w:p>
      <w:r>
        <w:t>Pages translated : 5</w:t>
      </w:r>
    </w:p>
    <w:p/>
    <w:p>
      <w:r>
        <w:rPr>
          <w:b/>
        </w:rPr>
        <w:t>[Pages 1–3]</w:t>
      </w:r>
    </w:p>
    <w:p>
      <w:r>
        <w:t>FRENCH REPUBLIC</w:t>
        <w:br/>
        <w:t>Decision No. 16-DCC-200 of December 6, 2016</w:t>
        <w:br/>
        <w:t>regarding the exclusive control of France Cars by Avis Budget Group</w:t>
        <w:br/>
        <w:t>The Competition Authority,</w:t>
        <w:br/>
        <w:t>Having regard to the notification file submitted in full to the merger service on November 3, 2016, regarding the exclusive control of France Cars by Avis Budget Group, formalized by a draft share transfer protocol dated September 13, 2016;</w:t>
        <w:br/>
        <w:t>Having regard to Book IV of the Commercial Code relating to price freedom and competition, and in particular its Articles L. 430-1 to L. 430-7;</w:t>
        <w:br/>
        <w:t>Having regard to the supplementary elements provided by the parties during the investigation;</w:t>
        <w:br/>
        <w:t>Adopts the following decision:</w:t>
        <w:br/>
        <w:t>I. The concerned companies and the operation</w:t>
        <w:br/>
        <w:t>1. Avis Budget Group (hereinafter: "ABG") is a global group active in the vehicle rental sector. It operates in France short-term rental networks for passenger vehicles and utility vehicles under the brands Avis and Budget* through wholly-owned branches ([…]), agencies operated by agents ([…]), and agencies operated by franchisees ([…]). The group also operates a car-sharing company in about fifteen French urban areas under the ZipCar brand. ABG is a publicly traded company on the New York Stock Exchange. Its capital is held by several investment funds and several individuals, with no single shareholder likely to exert decisive influence.</w:t>
        <w:br/>
        <w:t>2. France Cars is a company active in the short-term rental of vehicles, mainly utility vehicles, through a network of sixty-nine wholly-owned agencies. Its capital is held [confidential].</w:t>
        <w:br/>
        <w:t>* Correction of a material error.</w:t>
      </w:r>
    </w:p>
    <w:p>
      <w:r>
        <w:t>3. The operation, formalized by a draft share transfer agreement dated September 13, 2016, involves the acquisition by ABG, via its subsidiary Avis Europe Holding Limited, of the entire share capital of France Cars. As it results in the exclusive control of France Cars by ABG, it is considered a concentration within the meaning of Article L. 430-1 of the Commercial Code.</w:t>
        <w:br/>
        <w:t>4. The companies concerned together achieve a total worldwide turnover excluding tax of more than 150 million euros (ABG: 7.7 billion euros for the fiscal year ending December 31, 2015; France Cars: 69.6 million euros for the fiscal year ending December 31, 2015). Each of these companies has achieved a turnover in France exceeding 50 million euros (ABG: […] euros for the fiscal year ending December 31, 2015; France Cars: […] euros for the fiscal year ending December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A. MARKETS FOR VEHICLE RENTAL</w:t>
        <w:br/>
        <w:t>1. SERVICE MARKETS</w:t>
        <w:br/>
        <w:t>5. Decision-making practice defines vehicle rental services as the provision, by the lessor to the user, of vehicles for use during a contractually determined period1. This market is segmented based on the category of vehicle (industrial vehicles and passenger vehicles2). Decision-making practice has also conducted analyses on a market for the rental of utility vehicles. However, it has left open the question of whether it corresponds to the category of industrial vehicles with a weight of less than or equal to 3.5 tons, which constitutes one of the segments considered in the market for industrial vehicle rental3. A segmentation between short-term rental (less than one year) and long-term rental (more than one year) is also considered4.</w:t>
        <w:br/>
        <w:t>1 European Commission Decision No. M.1810 VW/Europcar of February 18, 2000; letter from the Minister of Economy SA Gueudet Frères regarding a concentration in the automotive concession sector dated October 17, 2002.</w:t>
        <w:br/>
        <w:t>2 European Commission Decision No. M.1739 Iveco/Fraikin of December 3, 1999; letter from the Minister of Economy Eurazeo/Fraikin SA regarding a concentration in the industrial vehicle rental sector dated February 17, 2003; decisions of the Competition Authority No. 09-DCC-74 of December 14, 2009, regarding the exclusive control of lovefrance SAS by Groupe Berto and No. 10-DCC-151 of October 29, 2010, regarding the exclusive control of Austrasie by the Lenormant group.</w:t>
        <w:br/>
        <w:t>3 Letter C2006-43 from the Minister of Economy Eurazeo regarding a concentration in the automotive rental sector dated May 3, 2006.</w:t>
        <w:br/>
        <w:t>4 European Commission Decision No. M.1810 VW/Europcar of February 18, 2000, and the aforementioned letter from the Minister of Economy dated October 17, 2002; letter from the Minister of Economy TEMsys regarding a concentration in the long-term vehicle rental sector dated March 2, 2006; European Commission Decision No. M.4199 De Lage Landen / Athlon of June 12, 2006; letter C2008-18 from the Minister of Economy Leaseplan Corporation NV regarding a concentration in the vehicle rental and fleet management sector dated June 19, 2008; decision of the Competition Authority No. 16-DCC-57 of April 22, 2016, regarding the exclusive control of the financial company Parcours by Temsys.</w:t>
        <w:br/>
        <w:t>2</w:t>
      </w:r>
    </w:p>
    <w:p>
      <w:r>
        <w:t>6. Regarding the short-term rental of passenger vehicles and utility vehicles, a finer segmentation was considered based on the type of clientele (individuals, businesses)5. Decision-making practice has also identified a market for the provision of replacement vehicle services to insurance companies for their insured in case of an accident6, upstream of the automotive assistance services market7.</w:t>
        <w:br/>
        <w:t>7. The Competition Authority, while leaving the question open, considered adopting a market for the provision of "on-demand" car-sharing services (hereinafter: "car-sharing") for end customers8. The European Commission, for its part, left open the question of whether the car-sharing market9 belongs to the short-term rental market for automobiles10. However, the question of the exact delimitation of these markets can be left open, as it does not affect the conclusions of the competitive analysis.</w:t>
        <w:br/>
        <w:t>8. In the present case, the parties are simultaneously active in the markets for short-term rental of passenger and utility vehicles11 as well as in the provision of replacement vehicle services to insurance companies.</w:t>
        <w:br/>
        <w:t>2. GEOGRAPHICAL MARKETS</w:t>
        <w:br/>
        <w:t>9. The markets for vehicle rental can have a national or local dimension depending on the nature of the services provided.</w:t>
        <w:br/>
        <w:t>10. Regarding the short-term rental of passenger vehicles and utility vehicles12, decision-making practice has left open the question of whether the market is national or local.</w:t>
        <w:br/>
        <w:t>11. The question of the exact delimitation of these geographical markets can also be left open in the present case, as it does not affect the conclusions of the competitive analysis.</w:t>
        <w:br/>
        <w:t>12. In the present case, the competitive analysis is conducted at both the national and local levels for the different segments of the short-term rental market, except for the segment of replacement vehicle provision services analyzed at the national level.</w:t>
        <w:br/>
        <w:t>5 European Commission Decision No. M.2510 Cendant/Galileo of September 24, 2001; letter C2006-43 from the Minister dated May 3, 2006, aforementioned.</w:t>
        <w:br/>
        <w:t>6 European Commission Decision No. M.1810 VW/Europcar of February 18, 2000, and the aforementioned letter from the Minister of Economy dated October 17, 2002.</w:t>
        <w:br/>
        <w:t>7 See in particular the decisions of the Competition Authority No. 14-DCC-143 of September 29, 2014, regarding the exclusive control by BNP Paribas Cardif of Icare, and No. 15-DCC-95 of July 15, 2015, regarding the exclusive control of Société Financière JPC by Société Financière CLC.</w:t>
        <w:br/>
        <w:t>8 Decision of the Authority No. 10-DCC-198 of December 30, 2010, regarding the creation of a joint venture by Veolia Environnement and Caisse des Dépôts et Consignations.</w:t>
        <w:br/>
        <w:t>9 This market includes car-sharing services offered by professionals to individuals or businesses but not vehicle sharing between individuals, which, according to a Xerfi study from 2016, accounted for only 3% of vehicle rentals in 2015.</w:t>
        <w:br/>
        <w:t>10 European Commission Decision No. M.6333 BMW/Ing Carlease of September 23, 2011.</w:t>
        <w:br/>
        <w:t>11 The parties are simultaneously active, to a marginal extent, in the market for the rental of industrial vehicles weighing between 3.5 and 15 tons, with a combined market share of less than [0-5]% at the national level.</w:t>
        <w:br/>
        <w:t>12 See in particular letter C2006-43 from the Minister of Economy dated May 3, 2006, and the aforementioned decision of the Competition Authority No. 16-DCC-57 of April 22, 2016.</w:t>
      </w:r>
    </w:p>
    <w:p>
      <w:r>
        <w:rPr>
          <w:b/>
        </w:rPr>
        <w:t>[Pages 4–5]</w:t>
      </w:r>
    </w:p>
    <w:p>
      <w:r>
        <w:t xml:space="preserve">B. THE SALE OF USED VEHICLES  </w:t>
        <w:br/>
        <w:t xml:space="preserve">13. Decision-making practice13 has identified a market for the sale of used vehicles and adopts a local definition, generally at the departmental level14.  </w:t>
        <w:br/>
        <w:t xml:space="preserve">14. In the present case, the parties are simultaneously present in the Rhône department (69). The competitive analysis is conducted in this department.  </w:t>
        <w:br/>
        <w:t xml:space="preserve">III. Competitive Analysis  </w:t>
        <w:br/>
        <w:t xml:space="preserve">15. The present operation is likely to have horizontal effects on the markets for short-term rental of passenger and utility vehicles as well as on the market for the sale of used vehicles.  </w:t>
        <w:br/>
        <w:t xml:space="preserve">A. MARKETS FOR SHORT-TERM RENTAL OF AUTOMOBILES  </w:t>
        <w:br/>
        <w:t xml:space="preserve">16. The acquirer's network partly relies on franchisees, the market share of which should not be integrated into that of ABG unless they do not have sufficient commercial autonomy compared to the network head to exert competitive pressure on the integrated agencies. However, this question may be left open in the present case, as the results of the competitive analysis remain unchanged whether or not the activity of the franchisees is included in the market share of the new entity. The following market shares take into account the entire ABG network, the most conservative assumption.  </w:t>
        <w:br/>
        <w:t xml:space="preserve">17. At the national level, the new entity will hold a market share of less than 20%15, regardless of the segment considered. The competitive analysis remains unchanged if professional car-sharing services are included. The new entity will face numerous competing groups, including Hertz, Europcar, Enterprise, Sixt, Rent-A-Car, Fraikin, Ada, Ucar, Renault Rent, VULog, Système U, Carrefour rental, Intermarché rental, or Bolloré. In a potential segment for providing insurance companies with replacement vehicle services for their insured in case of an accident, the market share of the new entity is below 20%, with an increment of less than [0-5] points.  </w:t>
        <w:br/>
        <w:t xml:space="preserve">18. At the local level, the operation leads to an overlap of activities in 41 urban areas and 43 departments according to the geographical delineation considered. In all these areas, the market share of the new entity will be below 25% regardless of the segmentation retained, except for the urban areas of Narbonne (11) and Lens (62) and the departments of Pas-de-Calais (62) and Somme (80). In these four areas, the position of the new entity will be between [20-30]% and [30-40]% depending on the market segment considered. However, it will only operate [20-30]% of the agencies in the area and will face competition notably from Europcar, Hertz, Sixt, Ada, Enterprise, Ucar, Rent-A-Car, Système U, Carrefour rental, or Intermarché rental.  </w:t>
        <w:br/>
        <w:t xml:space="preserve">19. The local competitive analysis remains unchanged if professional car-sharing services are included in the areas where Zipcars is active.  </w:t>
        <w:br/>
        <w:t xml:space="preserve">20. Given the above, the operation is not likely to harm competition in the markets for short-term rental of passenger and utility vehicles.  </w:t>
        <w:br/>
        <w:t xml:space="preserve">B. SALE OF USED VEHICLES  </w:t>
        <w:br/>
        <w:t xml:space="preserve">21. In the Rhône department (69), the market share of the new entity remains below [0-5]%.  </w:t>
        <w:br/>
        <w:t xml:space="preserve">22. The operation is therefore not likely to lead to anti-competitive effects in the markets for the sale of used vehicles.  </w:t>
        <w:br/>
        <w:t xml:space="preserve">DECIDES  </w:t>
        <w:br/>
        <w:t xml:space="preserve">Single Article: The operation notified under number 16-201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