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https://www.autoritedelaconcurrence.fr/fr/decision-de-controle-des-concentrations/relative-la-prise-de-controle-exclusif-de-girard-agediss</w:t>
      </w:r>
    </w:p>
    <w:p>
      <w:r>
        <w:t>Pages translated : 7</w:t>
      </w:r>
    </w:p>
    <w:p/>
    <w:p>
      <w:r>
        <w:rPr>
          <w:b/>
        </w:rPr>
        <w:t>[Pages 1–3]</w:t>
      </w:r>
    </w:p>
    <w:p>
      <w:r>
        <w:t xml:space="preserve">FRENCH REPUBLIC  </w:t>
        <w:br/>
        <w:t xml:space="preserve">Decision No. 16-DCC-62 of May 24, 2016  </w:t>
        <w:br/>
        <w:t xml:space="preserve">regarding the exclusive control of Girard-Agediss by 3SI  </w:t>
        <w:br/>
        <w:t xml:space="preserve">The Competition Authority,  </w:t>
        <w:br/>
        <w:t xml:space="preserve">Having regard to the notification file submitted in full to the concentrations service on April 19, 2016, regarding the acquisition of exclusive control of the company Girard-Agediss by the 3SI group, formalized by a share acquisition agreement dated March 24, 2016;  </w:t>
        <w:br/>
        <w:t xml:space="preserve">Having regard to Book IV of the Commercial Code relating to the freedom of prices and competition, and in particular its Articles L. 430-1 to L. 430-7;  </w:t>
        <w:br/>
        <w:t xml:space="preserve">Adopts the following decision:  </w:t>
        <w:br/>
        <w:t xml:space="preserve">I. The companies concerned and the operation  </w:t>
        <w:br/>
        <w:t xml:space="preserve">1. 3SI is a subsidiary of the German group Otto specialized in mail order and e-commerce. In France, 3SI's offering covers a wide range of products: books, household appliances, games and toys, home, DIY, beauty, clothing, shoes, luggage/leather goods, jewelry, and sports and leisure. 3SI, through its subsidiaries Mondial Relay and Dispeo, is also active in the parcel delivery sector for individuals and logistics in the field of e-commerce. The Otto group is present in France in the sectors of debt purchase and recovery, and consumer credit.  </w:t>
        <w:br/>
        <w:t xml:space="preserve">2. Girard-Agediss is primarily active in the sectors of parcel delivery for individuals and bulk freight transport for professionals, and more marginally in the fields of transport commissioning and logistics. Marginally, Girard-Agediss also engages in the sale of furniture corresponding to damaged furniture in the context of its transport activities.  </w:t>
        <w:br/>
        <w:t xml:space="preserve">3. The operation, formalized by a share acquisition agreement dated March 24, 2016, consists of the acquisition by 3SI of all the shares and voting rights of Girard-Agediss.  </w:t>
        <w:br/>
        <w:t>4. Insofar as it results in the exclusive control of Girard-Agediss by 3SI, the notified operation constitutes a concentration within the meaning of Article L. 430-1 of the Commercial Code.</w:t>
      </w:r>
    </w:p>
    <w:p>
      <w:r>
        <w:t xml:space="preserve">5. The companies concerned together achieve a total worldwide turnover excluding taxes of more than 150 million euros (Otto: 12 billion euros for the fiscal year ending December 31, 2014; Girard-Agediss: 65.2 million euros for the same fiscal year). Each of these companies achieved a turnover in France exceeding 50 million euros (Otto: [...] euros for the fiscal year ending December 31, 2014; Girard-Agediss: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6. The parties are simultaneously active in the parcel delivery markets (A) and logistics (B). 3SI is also active in the downstream markets of distance selling (C).  </w:t>
        <w:br/>
        <w:t xml:space="preserve">A. THE PARCEL DELIVERY MARKETS  </w:t>
        <w:br/>
        <w:t xml:space="preserve">1. MARKET FOR SERVICES  </w:t>
        <w:br/>
        <w:t xml:space="preserve">7. The Authority's decision-making practice distinguishes three markets for parcel delivery: (i) traditional parcel delivery (delivery within 24 to 72 hours nationwide), (ii) express delivery (pickup before 6 PM for delivery generally the next day before 6 PM nationwide, with no guaranteed timeframes), and (iii) express delivery (pickup before 6 PM for delivery the next day before 12 or 1 PM nationwide with various levels of guarantee on timeframes and a possibility for customer tracking).  </w:t>
        <w:br/>
        <w:t xml:space="preserve">8. In this case, the parties are active only in the traditional parcel delivery market. Within this market, 3SI is present in both relay point delivery and home delivery. In contrast, Girard-Agediss is almost exclusively involved in home delivery of parcels. A segmentation between home delivery and relay point delivery will be considered for the purposes of this case.  </w:t>
        <w:br/>
        <w:t xml:space="preserve">9. The Authority has also made a distinction between delivery activities of (i) business to business ("BtoB"), (ii) business to consumers ("BtoC"), (iii) consumers to businesses ("CtoB"), and (iv) consumer to consumer ("CtoC"). Indeed, CtoC or CtoB delivery requires having agencies to welcome individuals so that they can drop off their parcels, unlike BtoB or BtoC delivery, where the carrier generally collects them from the business. BtoC delivery requires a denser network than BtoB delivery, as companies are often grouped in business zones, while individual delivery recipients can be much more spread out. BtoC operators must therefore have a larger fleet of delivery vehicles than BtoB operators, making BtoC services more expensive than BtoB services.  </w:t>
        <w:br/>
        <w:t xml:space="preserve">10. Regarding the BtoB parcel delivery market, the Authority has adopted an additional segmentation based on the weight of parcels (more or less than 30 kg). To date, such segmentation has not been considered for the BtoC parcel delivery market. In this case, 3SI distributes all types of parcels indiscriminately, regardless of their weight. Conversely, Girard-Agediss only transports parcels over 30 kg and has the necessary equipment for this purpose (padded trucks, securing bars, etc.). Conversely, it appears that the two main operators of traditional home parcel delivery in BtoC, La Poste and Colis Privé, exclusively deliver parcels weighing less than 30 kg. A segmentation between parcels of more or less than 30 kg will also be considered in the BtoC parcel delivery market.  </w:t>
        <w:br/>
        <w:t xml:space="preserve">11. Finally, competition authorities distinguish between national parcel delivery and international parcel delivery, as these two activities involve different organizations and infrastructures, parcel delivery operators may specialize in only one of these services, and international parcel delivery services are more expensive. In this case, the parties are simultaneously active in national parcel delivery.  </w:t>
        <w:br/>
        <w:t xml:space="preserve">12. In any case, the question of the exact delimitation of the markets can be left open in this case, as the conclusions of the competitive analysis remain unchanged regardless of the hypothesis adopted.  </w:t>
        <w:br/>
        <w:t xml:space="preserve">2. GEOGRAPHICAL MARKET  </w:t>
        <w:br/>
        <w:t xml:space="preserve">13. The Authority's decision-making practice considers that the parcel delivery markets have a national dimension.  </w:t>
        <w:br/>
        <w:t xml:space="preserve">B. THE LOGISTICS MARKETS  </w:t>
        <w:br/>
        <w:t xml:space="preserve">1. MARKET FOR SERVICES  </w:t>
        <w:br/>
        <w:t>14. The decision-making practice of the competition authorities has defined logistics services as involving "the various links in a supply chain of goods between an origin point and a destination point, in order to optimally manage the flow and storage of said goods. This activity can be likened to a global offer, as it combines a set of services such as, in particular, storage, inventory management, order taking, and the transport of goods at a time and place defined by the customer."</w:t>
      </w:r>
    </w:p>
    <w:p>
      <w:r>
        <w:rPr>
          <w:b/>
        </w:rPr>
        <w:t>[Pages 4–6]</w:t>
      </w:r>
    </w:p>
    <w:p>
      <w:r>
        <w:t xml:space="preserve">15. The European and national competition authorities have considered the existence of distinct logistics markets for certain sectors of activity which, due to the characteristics of their production chains, may require specific logistics services8.  </w:t>
        <w:br/>
        <w:t xml:space="preserve">16. A distinct market for logistics services intended for the e-commerce sector has thus been identified9. Within this market, logistics activity occurs at different stages of the distribution process, at which several types of logistics services are offered. These include: i) upstream logistics (supply, quality control, storage, packaging, order preparation, labeling, etc.); (ii) downstream logistics (delivery); and (iii) return flow management (related, for example, to the exercise of the right of withdrawal, after-sales service, or recycling)10. Given these specificities, the Authority considered that the upstream logistics services specific to the e-commerce sector could constitute a distinct market.  </w:t>
        <w:br/>
        <w:t xml:space="preserve">17. However, the question of the exact delineation of logistics markets can be left open, as the conclusions of the competitive analysis remain unchanged regardless of the delineation adopted.  </w:t>
        <w:br/>
        <w:t xml:space="preserve">2. GEOGRAPHIC MARKET  </w:t>
        <w:br/>
        <w:t xml:space="preserve">18. According to the practice of the European and national competition authorities11, the markets for logistics services are of national dimension.  </w:t>
        <w:br/>
        <w:t xml:space="preserve">C. DISTANCE SELLING MARKETS  </w:t>
        <w:br/>
        <w:t xml:space="preserve">1. SERVICE MARKET  </w:t>
        <w:br/>
        <w:t xml:space="preserve">19. The competition authorities have repeatedly questioned the relevance, in the field of retail sales of non-food products, of a segmentation between distance selling (hereinafter, "DS") encompassing all distribution channels specific to this mode of marketing (internet, catalogs, and others) on the one hand, and in-store sales on the other hand12.  </w:t>
        <w:br/>
        <w:t xml:space="preserve">20. The Authority noted, in its opinion on the competitive functioning of e-commerce13, that traditional brands adapt their commercial strategies to take into account the growth of internet sales by adopting a "multi-channel" distribution model that combines a network of stores and a DS site ("click &amp; mortar") as opposed to pure player sites.  </w:t>
        <w:br/>
        <w:t xml:space="preserve">8 See, for example, the case of "deep freeze" products in the aforementioned Authority decision n°11-DCC-79 as well as the case of tobacco in the European Commission decision M.3553 of October 4, 2004.  </w:t>
        <w:br/>
        <w:t xml:space="preserve">9 See the Authority decisions n°13-DCC-08 of January 16, 2013, regarding the exclusive control of Alpha Direct Services by Rakuten Europe and n°13-DCC-87, mentioned above.  </w:t>
        <w:br/>
        <w:t xml:space="preserve">10 See paragraphs 103 to 112 of the Authority's opinion n° 12-A-20 of September 18, 2012, regarding the competitive functioning of e-commerce.  </w:t>
        <w:br/>
        <w:t xml:space="preserve">11 See, for example, decisions n°13-DCC-87, n°13-DCC-08, and n° 12-DCC-153, mentioned above.  </w:t>
        <w:br/>
        <w:t xml:space="preserve">12 See in particular the Authority decisions n°15-DCC-101 of July 30, 2015, regarding the exclusive control of GrosBill SA by mutares AG, n°14-DCC-28 of March 5, 2014, regarding the exclusive control of Mistergooddeal SA by the Darty group, n°11-DCC-87 of June 10, 2011, regarding the exclusive control of Media Concorde SNC by High Tech Multicanal Group, and n°09-DCC-26 of July 24, 2009, regarding the acquisition of Camif Collectivités by Manutan International.  </w:t>
        <w:br/>
        <w:t xml:space="preserve">13 See the Authority's opinion on the competitive functioning of e-commerce n°12-A-20 of September 18, 2012.  </w:t>
        <w:br/>
        <w:t xml:space="preserve">21. However, the competition authorities have so far noted significant differences between DS and in-store sales, particularly in the way distributors communicate and acquire customers14. They have noted that, from the consumer's perspective, purchasing in-store offers the possibility to inspect the desired product and, if necessary, to benefit from the advice of a specialized seller. Moreover, the items displayed are, most of the time, available immediately. In contrast, DS has the advantage of allowing purchases to be made at any time, from one's place of residence. The Commission15 has noted that each distribution channel presents advantages and disadvantages and meets different consumer needs.  </w:t>
        <w:br/>
        <w:t xml:space="preserve">22. To date, the Commission considers that these two channels are more complementary than substitutable. However, in this case, this question can be left open as the analysis will only focus on the DS markets, which are only vertically linked to the parcel delivery markets.  </w:t>
        <w:br/>
        <w:t xml:space="preserve">23. In terms of DS, the decision-making practice16 further segments the market based on product families. The analysis of the positions of the Otto group will therefore focus on each of the product families it markets.  </w:t>
        <w:br/>
        <w:t xml:space="preserve">24. In this case, the question of the exact delineation of the markets can be left open, as the conclusions of the competitive analysis remain unchanged regardless of the hypothesis adopted.  </w:t>
        <w:br/>
        <w:t xml:space="preserve">2. GEOGRAPHIC MARKET  </w:t>
        <w:br/>
        <w:t xml:space="preserve">25. The DS markets are considered to be of national dimension, given the linguistic differences, the heterogeneity of consumer habits, as well as the costs and delivery times17.  </w:t>
        <w:br/>
        <w:t xml:space="preserve">III. Competitive Analysis  </w:t>
        <w:br/>
        <w:t xml:space="preserve">26. The horizontal (A) and vertical (B) effects of the operation are analyzed successively below.  </w:t>
        <w:br/>
        <w:t xml:space="preserve">A. ANALYSIS OF HORIZONTAL EFFECTS  </w:t>
        <w:br/>
        <w:t xml:space="preserve">27. The activities of the parties overlap only in the parcel delivery (1) and logistics (2) markets.  </w:t>
        <w:br/>
        <w:t xml:space="preserve">14 See in particular the Authority decisions n°15-DCC-101 and n°11-DCC-87, mentioned above, as well as the Commission decision COMP/M.5721 Otto/Primondo Assets of February 16, 2010.  </w:t>
        <w:br/>
        <w:t xml:space="preserve">15 See the Commission decision COMP/M.5721, mentioned above.  </w:t>
        <w:br/>
        <w:t xml:space="preserve">16 See in particular the Authority decisions n°15-DCC-101, n°11-DCC-87, n°09-DCC-26, and n°14-DCC-28 of March 5, 2014, mentioned above.  </w:t>
        <w:br/>
        <w:t xml:space="preserve">17 See in particular the Authority decisions n°15-DCC-101 and n°14-DCC-28, mentioned above.  </w:t>
        <w:br/>
        <w:t xml:space="preserve">1. PARCEL DELIVERY MARKETS  </w:t>
        <w:br/>
        <w:t xml:space="preserve">28. The new entity will hold a market share of [20-30]% in the traditional delivery market for parcels over 30 kg to homes in BtoC ([5-10]% market share for 3SI and [10-20]% for Girard Agediss). In this market, the new entity will still face a significant number of operators such as Geodis ([10-20]% market share), VIR ([10-20]%), Guisnel ([5-10]%), Relais Colis ([5-10]%), Distrimag ([5-10]%), Distritec ([5-10]%), CCV ([5-10]%) or Cogepart ([5-10]%).  </w:t>
        <w:br/>
        <w:t xml:space="preserve">29. The new entity will also hold a market share of [30-40]% in the traditional delivery market for parcels at collection points in BtoC. However, the incremental market share resulting from the operation is limited to [0-5] points. Girard-Agediss indeed has a reduced activity in this market, where it only offers a service for making parcels over 30 kg available at collection points located in industrial areas. Furthermore, the new entity will continue to face competition from the leading player in the market, Relais Colis ([40-50]% market share), and significant providers such as La Poste ([10-20]%) and UPS ([5-10]%).  </w:t>
        <w:br/>
        <w:t xml:space="preserve">30. In other parcel delivery markets, the market share of the new entity will not exceed [0-5]% in France.  </w:t>
        <w:br/>
        <w:t xml:space="preserve">31. Therefore, the proposed operation is not likely to affect competition through horizontal effects in the parcel delivery markets.  </w:t>
        <w:br/>
        <w:t xml:space="preserve">2. LOGISTICS MARKETS  </w:t>
        <w:br/>
        <w:t xml:space="preserve">32. In the logistics markets, the combined market shares of the parties do not exceed [0-5]%, regardless of the market definition adopted. The operation is therefore not likely to affect the operation in the logistics markets.  </w:t>
        <w:br/>
        <w:t xml:space="preserve">B. ANALYSIS OF VERTICAL EFFECTS  </w:t>
        <w:br/>
        <w:t xml:space="preserve">33. A vertical concentration can restrict competition by making it more difficult to access the markets in which the new entity will be active,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34. In this case, Girard-Agediss and 3SI are active in the parcel delivery markets that are upstream of the distance selling markets in which the Otto group operates.  </w:t>
        <w:br/>
        <w:t xml:space="preserve">35. The decision-making practice of the competition authorities generally rules out the risks of market lock-in when the share of the company resulting from the operation in the relevant markets does not exceed 30%18.  </w:t>
        <w:br/>
        <w:t>36. In the upstream parcel delivery markets, the combined market share of the parties will not exceed [10-20]% in almost all markets in which the parties are active. It will only exceed the 30% threshold in the market for parcel delivery in</w:t>
      </w:r>
    </w:p>
    <w:p>
      <w:r>
        <w:rPr>
          <w:b/>
        </w:rPr>
        <w:t>[Pages 7–7]</w:t>
      </w:r>
    </w:p>
    <w:p>
      <w:r>
        <w:t>points of collection in BtoC, without exceeding [30-40] %. Furthermore, the operation will not significantly alter the competitive environment, as the Otto group is already vertically integrated and the operation will only increase its market share by [0-5] points in the market for parcel delivery at points of collection in BtoC. Finally, as previously highlighted in the analysis of horizontal effects, the new entity will continue to face a significant number of competitors in the parcel delivery markets. Competing distance selling operators of the new entity will therefore have sufficient alternative suppliers.</w:t>
      </w:r>
    </w:p>
    <w:p>
      <w:r>
        <w:t>37. In the downstream markets of distance selling, the market share of the Otto group is less than [10-20] % in each of the product categories it markets. The Otto group also represents less than [10-20] % of the demand for parcels over 30 kg delivered to homes. The competitors of the parties in the parcel delivery markets will therefore have significant alternative outlets following the operation.</w:t>
      </w:r>
    </w:p>
    <w:p>
      <w:r>
        <w:t>38. Consequently, the operation is not likely to harm competition through vertical effects.</w:t>
      </w:r>
    </w:p>
    <w:p>
      <w:r>
        <w:t>DECIDES</w:t>
      </w:r>
    </w:p>
    <w:p>
      <w:r>
        <w:t>Sole Article: The operation notified under number 16-054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