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https://www.autoritedelaconcurrence.fr/fr/decision-de-controle-des-concentrations/relative-la-prise-de-controle-exclusif-de-grosbill-sa-par</w:t>
      </w:r>
    </w:p>
    <w:p>
      <w:r>
        <w:t>Pages translated : 7</w:t>
      </w:r>
    </w:p>
    <w:p/>
    <w:p>
      <w:r>
        <w:rPr>
          <w:b/>
        </w:rPr>
        <w:t>[Pages 1–3]</w:t>
      </w:r>
    </w:p>
    <w:p>
      <w:r>
        <w:t xml:space="preserve">FRENCH REPUBLIC  </w:t>
        <w:br/>
        <w:t xml:space="preserve">Decision No. 15-DCC-101 of July 30, 2015  </w:t>
        <w:br/>
        <w:t>regarding the exclusive control of GrosBill SA by mutares AG</w:t>
      </w:r>
    </w:p>
    <w:p>
      <w:r>
        <w:t xml:space="preserve">The Competition Authority,  </w:t>
        <w:br/>
        <w:t xml:space="preserve">Having regard to the notification file submitted in full to the merger service on June 24, 2015, regarding the exclusive control of GrosBill SA by mutares AG, formalized by a unilateral purchase promise dated June 9, 2015;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mutares Holding 21 AG, a company established for the needs of the operation, is a subsidiary of the German investment fund mutares AG, the parent company of the mutares Group. The main partners of mutares AG are […], each holding 33% of its capital, as well as […], a family company whose purpose is the management of the assets of […] (10% of the capital of mutares AG). The remainder of the capital is floating, mutares AG being listed on the Frankfurt Stock Exchange since May 2014. None of the partners of mutares AG holds, individually or collectively, control over it. The activity of mutares AG is the acquisition and restructuring of distressed companies with growth potential. mutares AG thus holds numerous stakes in companies active in Europe; it notably controls the pure player Pixmania, active in the online sale of household appliances.  </w:t>
        <w:br/>
        <w:t>2. GrosBill SA (hereinafter "GrosBill") is controlled by Auchan E-commerce International, a subsidiary of the Auchan group specialized in business consulting and other management consulting in the sector of online sales of high-quality products at discount prices.</w:t>
      </w:r>
    </w:p>
    <w:p>
      <w:r>
        <w:t xml:space="preserve">GrosBill is primarily active in the online distribution sector of household appliances in France.  </w:t>
        <w:br/>
        <w:t xml:space="preserve">3. The operation, formalized by a unilateral purchase promise dated June 9, 2015, involves the acquisition by mutares Holding 21 AG of the entire capital and voting rights of GrosBill from the company Auchan E-Commerce International. It thus results in the exclusive control of GrosBill by mutares AG, and as such constitutes a concentration within the meaning of Article L. 430-1 of the Commercial Code.  </w:t>
        <w:br/>
        <w:t>4. The companies concerned together achieve a total worldwide turnover of more than 150 million euros (mutares: 648 million euros for the fiscal year ending December 31, 2014; GrosBill: […] for the same fiscal year). Each achieves in France a turnover exceeding 50 million euros (mutares: […] for the fiscal year ending December 31, 2014; GrosBill: […] for the same fiscal year). Given these turnover figures,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5. The parties are both active in the retail sector of household appliances, and more specifically in online sales.  </w:t>
        <w:br/>
        <w:t>6. In the retail sector, competition authorities generally recognize two categories of markets: (i) upstream markets for the supply of retail companies from manufacturers and (ii) downstream markets that bring together retail companies and final consumers.</w:t>
      </w:r>
    </w:p>
    <w:p>
      <w:r>
        <w:t xml:space="preserve">A. MARKETS OF THE PRODUCTS IN QUESTION  </w:t>
        <w:br/>
        <w:t xml:space="preserve">1. UPSTREAM MARKETS FOR THE SUPPLY OF HOUSEHOLD APPLIANCES  </w:t>
        <w:br/>
        <w:t xml:space="preserve">7. Regarding the upstream supply markets, competition authorities have considered that a distribution by product group was relevant. Indeed, they noted that "producers manufacture specific products or groups of products and are not technically able to easily convert to the manufacture of other products without significant costs." Furthermore, "at the supply level, it can be considered that there are as many markets as there are product families on which the negotiation focuses, with each distributor putting various suppliers in competition on each of the markets."  </w:t>
        <w:br/>
        <w:t xml:space="preserve">8. Based on the organization of the distributors' "purchasing" divisions, the competition authorities have considered a segmentation according to the following product groups: (i) large household appliances (hereinafter "LHA"); (ii) small household appliances (hereinafter "SHA"); (iii) photo/cinema devices; (iv) hi-fi/sound devices; (v) TV/video devices; (vi) computers/peripherals; and (vii) telephony.  </w:t>
        <w:br/>
        <w:t>9. There is no need to challenge this delimitation on the occasion of the present operation.</w:t>
      </w:r>
    </w:p>
    <w:p>
      <w:r>
        <w:t xml:space="preserve">2. DOWNSTREAM MARKETS FOR THE DISTRIBUTION OF HOUSEHOLD APPLIANCES  </w:t>
        <w:br/>
        <w:t xml:space="preserve">10. Decision-making practice has considered a segmentation of the downstream markets for the distribution of household appliances according to the product families concerned and by distribution channel.  </w:t>
        <w:br/>
        <w:t xml:space="preserve">a) Distinction by product family  </w:t>
        <w:br/>
        <w:t xml:space="preserve">i. White, brown, and gray products  </w:t>
        <w:br/>
        <w:t xml:space="preserve">11. Competition authorities usually distinguish three product families: (i) white goods which include, in particular, cooktops, stoves, ovens, built-in sets, hoods, washing machines, dryers, dishwashers, refrigerators, freezers, small kitchen appliances, coffee makers, food processors, irons, and vacuum cleaners; (ii) brown goods which include televisions, VCRs, camcorders, hi-fi and audio equipment, digital devices, and DVD players; and (iii) gray goods which include personal computers, monitors, peripherals (such as printers or scanners), keyboards, modular accessories or spare parts (such as memory cards or additional hard drives, for example), software, and telephony.  </w:t>
        <w:br/>
        <w:t>12. Regarding the distribution of white goods, decision-making practice has noted that the supply channels, logistical means, and observed purchasing behaviors differ depending on whether it concerns small or large household appliances. However, it left open the question of a possible sub-segmentation of the white goods distribution market between SHA and LHA. In this case, it is not necessary to resolve this question as the conclusions of the competitive analysis would remain unchanged regardless of the hypothesis adopted.</w:t>
      </w:r>
    </w:p>
    <w:p>
      <w:r>
        <w:rPr>
          <w:b/>
        </w:rPr>
        <w:t>[Pages 4–6]</w:t>
      </w:r>
    </w:p>
    <w:p>
      <w:r>
        <w:t>ii. "Entertainment-Multimedia" Products</w:t>
      </w:r>
    </w:p>
    <w:p>
      <w:r>
        <w:t>13. Decision-making practice has considered the existence of a market for game consoles, console accessories, games for consoles and PCs while leaving the question open. A finer delineation by type of products between game software, consoles, and video game accessories had also been mentioned by the minister.</w:t>
      </w:r>
    </w:p>
    <w:p>
      <w:r>
        <w:t>14. The precise delineation of the entertainment/multimedia product markets can, however, be left open in this case, insofar as the conclusions of the competitive analysis will remain unchanged regardless of the definition adopted.</w:t>
      </w:r>
    </w:p>
    <w:p>
      <w:r>
        <w:t>b) Distinction by Distribution Channel</w:t>
      </w:r>
    </w:p>
    <w:p>
      <w:r>
        <w:t>15. The retail sale of household appliances is practiced in various store formats and is developing online. In this case, in addition to the nine physical sales outlets with a sales area of less than 300 m² that GrosBill has, the parties are only active online.</w:t>
      </w:r>
    </w:p>
    <w:p>
      <w:r>
        <w:t>i. Physical Sales Outlets</w:t>
      </w:r>
    </w:p>
    <w:p>
      <w:r>
        <w:t>16. To delineate the relevant market, the competition authorities have retained three essential criteria: the type of products sold in order to determine whether the different categories of stores are able to offer substitutable products from the consumer's perspective, as well as the format and size of the stores to determine whether the services offered are comparable according to the types of stores considered. Indeed, only stores that consistently offer a wide assortment of household appliances throughout the year exert real competitive pressure on each other.</w:t>
      </w:r>
    </w:p>
    <w:p>
      <w:r>
        <w:t>17. Thus, it emerges from previous decision-making practice that a large specialized store in household appliances competes with other large specialized stores (hereinafter "LSS"), such as Darty, Boulanger, and FNAC, with large multi-specialist stores, such as Conforama or But, which offer, in addition to household appliances, furniture and decoration products, groups of independent operators such as Euronics/Gitem, Connexion, or Expert, and proximity stores with a surface area of more than 300 m², but also with large food stores (hereinafter "GSA") with a surface area exceeding 2,500 m² as well as with hard-discount stores specialized in the retail trade of household appliances such as, for example, Electro Dépôt.</w:t>
      </w:r>
    </w:p>
    <w:p>
      <w:r>
        <w:t>ii. Distance Sales</w:t>
      </w:r>
    </w:p>
    <w:p>
      <w:r>
        <w:t>18. The competition authorities have repeatedly questioned the relevance of a segmentation in the non-food retail sector between distance selling ("VAD") on the one hand and in-store selling on the other, with VAD including all distribution channels specific to this mode of marketing (internet, catalogs, and others).</w:t>
      </w:r>
    </w:p>
    <w:p>
      <w:r>
        <w:t>19. The Competition Authority noted, in its opinion on the competitive functioning of e-commerce, that traditional brands adapt their commercial strategies to take into account the growth of online sales by adopting a "multi-channel" distribution model that combines a network of stores and an online sales site. In this context, they either create their own website on which they offer, in addition to the products offered in-store, certain specific products at specific prices (referred to as "click &amp; mortar" distributors), or they create pure player sites.</w:t>
      </w:r>
    </w:p>
    <w:p>
      <w:r>
        <w:t>20. However, the competition authorities, both national and European, have so far noted significant differences between distance selling and in-store selling, particularly in the way VAD and "physical" store distributors communicate and acquire customers. They have noted that, from the consumer's perspective, purchasing in-store offers the possibility to inspect the desired product and, if necessary, to benefit from the advice of a specialized salesperson. Moreover, the items displayed are, most of the time, available immediately. Conversely, VAD has the advantage of allowing purchases at any time of the day and week, from one's place of residence. The Commission notes that each distribution channel presents various advantages and disadvantages and meets different consumer needs. The Commission concludes that these two channels are more complementary than substitutable.</w:t>
      </w:r>
    </w:p>
    <w:p>
      <w:r>
        <w:t>21. However, since the conclusions of the competitive analysis remain unchanged regardless of the hypothesis adopted, the exact delineation of the downstream market for the distribution of household appliances can remain open.</w:t>
      </w:r>
    </w:p>
    <w:p>
      <w:r>
        <w:t>B. RELEVANT GEOGRAPHICAL MARKETS</w:t>
      </w:r>
    </w:p>
    <w:p>
      <w:r>
        <w:t>1. UPSTREAM MARKETS FOR THE SUPPLY OF HOUSEHOLD APPLIANCES</w:t>
      </w:r>
    </w:p>
    <w:p>
      <w:r>
        <w:t>22. The competition authorities consider that the supply markets are at least national in scope, if not European.</w:t>
      </w:r>
    </w:p>
    <w:p>
      <w:r>
        <w:t>23. In this case, the question of the geographical delineation of the markets for the supply of household appliances can remain open, with the conclusions of the analysis remaining unchanged.</w:t>
      </w:r>
    </w:p>
    <w:p>
      <w:r>
        <w:t>2. DOWNSTREAM MARKETS FOR THE DISTRIBUTION OF HOUSEHOLD APPLIANCES</w:t>
      </w:r>
    </w:p>
    <w:p>
      <w:r>
        <w:t>24. Regarding retail distribution at physical sales outlets, the analysis is conducted on catchment areas at the local level. In this case, however, the operation does not result in any overlap of activity in terms of in-store sales, as Pixmania is only active in online sales.</w:t>
      </w:r>
    </w:p>
    <w:p>
      <w:r>
        <w:t>25. The market for the distance distribution of household appliances is considered to be at most national in scope, given the linguistic differences, the heterogeneity of consumer habits, as well as the costs and delivery times.</w:t>
      </w:r>
    </w:p>
    <w:p>
      <w:r>
        <w:t>26. The analysis will therefore be conducted at the national level on online sales only but also on a global market including both in-store sales and online sales.</w:t>
      </w:r>
    </w:p>
    <w:p>
      <w:r>
        <w:t>III. Competitive Analysis</w:t>
      </w:r>
    </w:p>
    <w:p>
      <w:r>
        <w:t>A. UPSTREAM SUPPLY MARKETS</w:t>
      </w:r>
    </w:p>
    <w:p>
      <w:r>
        <w:t>27. Based in particular on data published by the GfK firm and on internal data, the notifying party estimates the purchase shares of Pixmania and GrosBill at [0-5]% regardless of the segmentation retained. The operation is therefore not likely to affect competition in the upstream markets for the supply of household appliances.</w:t>
      </w:r>
    </w:p>
    <w:p>
      <w:r>
        <w:t>B. DOWNSTREAM MARKETS FOR THE DISTRIBUTION OF HOUSEHOLD APPLIANCES</w:t>
      </w:r>
    </w:p>
    <w:p>
      <w:r>
        <w:t>28. The parties both distribute household appliances and "entertainment-multimedia" products. For each of these two product categories, the notifying party has estimated the market size in value, on the one hand on a global market including online sales and in-store sales and on the other hand by limiting itself to online sales only.</w:t>
      </w:r>
    </w:p>
    <w:p>
      <w:r>
        <w:t>29. Regardless of the segmentation retained, by product categories and/or by distribution channel, the combined market share of the parties is below 5%. The new entity will also face competition from many players such as Darty, Boulanger, or Cdiscount.</w:t>
      </w:r>
    </w:p>
    <w:p>
      <w:r>
        <w:t>30. Consequently, the operation is not likely to harm competition in the markets for the distribution of household appliances.</w:t>
      </w:r>
    </w:p>
    <w:p>
      <w:r>
        <w:rPr>
          <w:b/>
        </w:rPr>
        <w:t>[Pages 7–7]</w:t>
      </w:r>
    </w:p>
    <w:p>
      <w:r>
        <w:t xml:space="preserve">DECIDES  </w:t>
        <w:br/>
        <w:t xml:space="preserve">Sole Article: The operation notified under number 15-103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