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https://www.autoritedelaconcurrence.fr/fr/decision-de-controle-des-concentrations/relative-la-prise-de-controle-exclusif-de-groupe-defi</w:t>
      </w:r>
    </w:p>
    <w:p>
      <w:r>
        <w:t>Pages translated : 8</w:t>
      </w:r>
    </w:p>
    <w:p/>
    <w:p>
      <w:r>
        <w:rPr>
          <w:b/>
        </w:rPr>
        <w:t>[Pages 1–3]</w:t>
      </w:r>
    </w:p>
    <w:p>
      <w:r>
        <w:t xml:space="preserve">FRENCH REPUBLIC  </w:t>
        <w:br/>
        <w:t xml:space="preserve">Decision No. 11-DCC-80 of May 23, 2011  </w:t>
        <w:br/>
        <w:t xml:space="preserve">regarding the exclusive control of Groupe Défi Viandes by the  </w:t>
        <w:br/>
        <w:t>Cooperl Arc Atlantique group</w:t>
      </w:r>
    </w:p>
    <w:p>
      <w:r>
        <w:t xml:space="preserve">The Competition Authority,  </w:t>
        <w:br/>
        <w:t xml:space="preserve">Having regard to the notification file submitted in full to the merger service on April 15, 2011,  </w:t>
        <w:br/>
        <w:t xml:space="preserve">regarding the exclusive control of the companies of Groupe Défi Viandes by the Cooperl Arc Atlantique group, formalized by a transfer protocol dated February 23, 2011;  </w:t>
        <w:br/>
        <w:t xml:space="preserve">Having regard to Book IV of the Commercial Code relating to the freedom of prices and competition, and in particular its Articles L. 430-1 to L. 430-7;  </w:t>
        <w:br/>
        <w:t xml:space="preserve">Having regard to the additional elements transmitted by the parties during the investigation;  </w:t>
        <w:br/>
        <w:t>Adopts the following decision:</w:t>
      </w:r>
    </w:p>
    <w:p>
      <w:r>
        <w:t xml:space="preserve">I. The companies concerned and the operation  </w:t>
        <w:br/>
        <w:t xml:space="preserve">1. Cooperl Arc Atlantique is an agricultural cooperative company, the parent holding of the Cooperl Arc Atlantique group (hereinafter "Cooperl group"), whose corporate purpose is the production, collection, slaughter, processing, preservation, marketing, and sale of animals of pig and poultry species and all cereals, protein crops, oilseeds, and other soil products coming exclusively from the farms of cooperative members. The Cooperl group is notably present in the sector of processing and preserving pork meat. It also ensures the purchase, for the supply of its only cooperative members, of the products, equipment, instruments, and animals necessary for their operation. In 2009, the Cooperl group strengthened its presence in the cured meat products sector with the acquisition of the company Brocéliande.  </w:t>
        <w:br/>
        <w:t xml:space="preserve">2. Groupe Défi Viandes (hereinafter "GDV") is active in the marketing of butcher's meat and other catering products. For the distribution of its various products, GDV has a network of points of sale mainly located in the northern half of France consisting of city center butcher shops, butcher shops adjacent to a discount supermarket [Confidential], and butcher shops located in multi-fresh areas [Confidential]. GDV markets the following product categories: (i) butcher's meat, (ii) charcuterie and cured products, (iii) "caterer products" (hot dishes, cold starters, convivial dishes), and (iv) prepared meat-based dishes. The group has five commercial brands: Maxi Viandes, Marc Munier, Chevy, Nivernaise des Viandes, and Les Prairies de France. Prior to the current operation, GDV's capital was held by various individuals as well as by the venture capital mutual fund MBO capital FCPR.  </w:t>
        <w:br/>
        <w:t xml:space="preserve">3. Under the transfer protocol dated February 23, 2011, it is provided that the company Cooperl Arc Atlantique acquires, via its subsidiary Cooperl Arc SA, all the shares comprising Groupe Défi Viandes.  </w:t>
        <w:br/>
        <w:t>4. Insofar as it results in the exclusive control of Groupe Défi Viandes by the Cooperl Arc Atlantique group, the notified operation constitutes a concentration within the meaning of Article L. 430-1 of the Commercial Code. The companies concerned have together achieved a consolidated turnover excluding taxes worldwide of more than 150 million euros in the last closed financial year (Cooperl: 1.7 billion euros for the financial year closed on December 31, 2009; GDV: […] million euros for the financial year closed on June 30, 2010). Each of these companies has achieved, in France, a turnover exceeding 50 million euros (Cooperl: 1.5 billion euros for the financial year closed on December 31, 2009; GDV: […] million euros for the financial year closed on June 30, 2010).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A. THE PRODUCT MARKETS  </w:t>
        <w:br/>
        <w:t xml:space="preserve">5. In this sector of processing and marketing of meats, decision-making practice operates a segmentation between the different stages of processing of beef, which correspond to the treatment cycle of animals and their meat. The first processing corresponds to the collection for the slaughter of the animal, at the end of which carcasses and by-products are obtained and sold. The second processing includes the deboning and cutting of carcasses. The third processing consists of packaging ready-to-cook meat, intended for the final consumer. Finally, the fourth processing corresponds to the manufacture of prepared meat-based products.  </w:t>
        <w:br/>
        <w:t xml:space="preserve">1. THE FIRST PROCESSING  </w:t>
        <w:br/>
        <w:t xml:space="preserve">6. Regarding the first processing, decision-making practice has considered distinguishing the following markets: (i) the collection of live animals for slaughter, for which there are as many distinct markets as there are species of animals slaughtered; (ii) the slaughtering service on behalf of third parties, within which practice also distinguishes different markets by species of animals; (iii) the carcass markets, segmented according to the type of animal from which the carcass originates and the distribution channel; (iv) the by-products markets, within which decision-making practice has distinguished slaughter by-products unfit for human consumption and slaughter by-products fit for human and animal consumption as well as for pharmaceutical uses.  </w:t>
        <w:br/>
        <w:t xml:space="preserve">2. THE SECOND PROCESSING  </w:t>
        <w:br/>
        <w:t xml:space="preserve">7. Meats referred to as "meats from the second processing" are cut and/or deboned meats, often vacuum-packed for better preservation, and marketed to different types of customers, who will carry out further processing of this merchandise for presentation for sale. The market for meat from the second processing has been segmented in previous decisions according to (i) the different animal species from which they come, (ii) the form in which the meat is sold (muscle or offal), and (iii) the distribution channels: hypermarkets and supermarkets (GMS), wholesalers and the agri-food industry (IAA), artisan butchers and charcutiers (BCA), and catering (RHF).  </w:t>
        <w:br/>
        <w:t xml:space="preserve">3. THE THIRD PROCESSING  </w:t>
        <w:br/>
        <w:t xml:space="preserve">8. Meats referred to as "meats from the third processing" are ready-to-cook meats, packaged in the form of Industrial Consumer Sales Units (UVCI) and directly presentable for sale. This market of the third processing has been segmented according to (i) the different animal species from which they come and (ii) the different distribution channels. Furthermore, regarding the market for beef (excluding calves), the Minister of Economy has considered that it was necessary to segment the distribution channel in GMS based on the product positioning (manufacturer brand, low-cost brand, distributor brand, hard-discount brand). He also distinguished a market for minced steak, which represents half of the sales of beef from the third processing in GMS. The Minister finally considered it relevant to distinguish between the markets for fresh and frozen minced steak.  </w:t>
        <w:br/>
        <w:t xml:space="preserve">4. THE FOURTH PROCESSING  </w:t>
        <w:br/>
        <w:t>9. The fourth processing corresponds to prepared meat-based products. The European Commission has defined these products as meats from mammals or birds.</w:t>
      </w:r>
    </w:p>
    <w:p>
      <w:r>
        <w:rPr>
          <w:b/>
        </w:rPr>
        <w:t>[Pages 4–6]</w:t>
      </w:r>
    </w:p>
    <w:p>
      <w:r>
        <w:t>raw, dried, smoked, or cooked birds, containing ingredients such as salt or spices. This definition was adopted by the Minister of Economy. The Commission, while leaving the question open, considered several types of segmentations. It indicated that this market could be segmented according to the type of meat used and considered the following segmentations: raw products, products prepared for cold consumption, canned goods, sausages, pies and pâtés, as well as ready meals. The Minister in charge of the economy considered a segmentation by meat sectors and by distribution channel, or a segmentation by type of prepared products (skewers, marinated meats, burgers, sausages, etc.) and by distribution channel.</w:t>
      </w:r>
    </w:p>
    <w:p>
      <w:r>
        <w:t>10. National competition authorities also specifically analyzed the markets for charcuterie, which mainly concern pork. For these markets, the competition authorities considered a segmentation based on (i) the type of product, (ii) the mode of distribution (self-service or cut-to-order), and (iii) the commercial positioning of the products (manufacturer brand, distributor brand, low-cost or hard discount).</w:t>
      </w:r>
    </w:p>
    <w:p>
      <w:r>
        <w:t>5. RETAIL DISTRIBUTION OF BUTCHER MEAT AND CHARCUTERIE</w:t>
      </w:r>
    </w:p>
    <w:p>
      <w:r>
        <w:t>11. Regarding the retail sale of everyday consumer goods, both community and national competition authorities distinguished six categories of trade using several criteria, including store size, sales techniques, accessibility, the nature of the service provided, and the range of products offered: (i) hypermarkets, (ii) supermarkets, (iii) specialized trade, (iv) small retail trade, (v) large discounters, (vi) mail order.</w:t>
      </w:r>
    </w:p>
    <w:p>
      <w:r>
        <w:t>12. In this case, GDV's distribution network includes city center butcher shops (specialized trade) as well as butcher shops adjacent to a discount supermarket or (more marginally) a multi-fresh area.</w:t>
      </w:r>
    </w:p>
    <w:p>
      <w:r>
        <w:t>B. GEOGRAPHICAL MARKETS</w:t>
      </w:r>
    </w:p>
    <w:p>
      <w:r>
        <w:t>1. THE FIRST PROCESSING</w:t>
      </w:r>
    </w:p>
    <w:p>
      <w:r>
        <w:t>13. According to decision-making practice, the markets for the collection of pigs have a local dimension, and the competitive analysis was thus conducted in collection areas of 150 to 200 kilometers around the slaughterhouses. The practice also considers that the markets for slaughtering on behalf of third parties have a local dimension corresponding to a maximum area of 50 kilometers around the slaughterhouses.</w:t>
      </w:r>
    </w:p>
    <w:p>
      <w:r>
        <w:t>14. Furthermore, according to decision-making practice, the markets for carcasses of meat resulting from the first processing are of national dimension.</w:t>
      </w:r>
    </w:p>
    <w:p>
      <w:r>
        <w:t>15. Regarding by-products, and more specifically hides and skins, decision-making practice conducted the analysis at the national level without definitively resolving the question of geographical delimitation. Finally, concerning by-products suitable for human consumption, decision-making practice considered that this constituted a market of national dimension.</w:t>
      </w:r>
    </w:p>
    <w:p>
      <w:r>
        <w:t>16. There is no reason to challenge these delimitations of the markets for the first processing during the examination of the present operation.</w:t>
      </w:r>
    </w:p>
    <w:p>
      <w:r>
        <w:t>2. THE SECOND, THIRD, AND FOURTH PROCESSING</w:t>
      </w:r>
    </w:p>
    <w:p>
      <w:r>
        <w:t>17. Community decision-making practice has considered, while leaving the question open, that these markets are of national dimension. The Minister of Economy considered for the second processing a delimitation based on the type of meat and the distribution channel considered. For the third and fourth processing, he considered that the markets were of national dimension.</w:t>
      </w:r>
    </w:p>
    <w:p>
      <w:r>
        <w:t>3. RETAIL DISTRIBUTION OF BUTCHER MEAT AND CHARCUTERIE</w:t>
      </w:r>
    </w:p>
    <w:p>
      <w:r>
        <w:t>18. Regarding local trade, the Competition Council had the opportunity to observe that the catchment area of stores belonging to this category is limited, on the order of five minutes of travel. As for local general food trade, the Authority noted that it is characterized by a clientele primarily composed of people living less than 500 meters from the point of sale, walking to the sales location.</w:t>
      </w:r>
    </w:p>
    <w:p>
      <w:r>
        <w:t>19. Concerning hypermarkets or supermarkets, the Competition Authority recalled in its recent decisions that, depending on the size of the stores concerned, the conditions of competition should be assessed in two different areas:</w:t>
        <w:br/>
        <w:t>- a first market where the demand from consumers in an area meets the supply of hypermarkets to which they have access within less than 30 minutes of travel by car and which are, from their perspective, substitutable for each other;</w:t>
        <w:br/>
        <w:t>- a second market where the demand from consumers meets the supply of supermarkets and equivalent forms of trade located within less than 15 minutes of travel by car. These latter forms of trade may include, in addition to supermarkets, hypermarkets located near consumers and discount stores.</w:t>
      </w:r>
    </w:p>
    <w:p>
      <w:r>
        <w:t>20. Other criteria may nevertheless be taken into account to assess the impact of a concentration on the competitive situation in retail distribution markets, which may lead to refining, in the specific case, the usual delimitations presented above.</w:t>
      </w:r>
    </w:p>
    <w:p>
      <w:r>
        <w:t>21. In any case, in the absence of competitive issues, the exact geographical delimitation of the market for retail distribution of butcher meat and charcuterie may remain open.</w:t>
      </w:r>
    </w:p>
    <w:p>
      <w:r>
        <w:t>III. Competitive Analysis</w:t>
      </w:r>
    </w:p>
    <w:p>
      <w:r>
        <w:t>A. ANALYSIS OF HORIZONTAL EFFECTS</w:t>
      </w:r>
    </w:p>
    <w:p>
      <w:r>
        <w:t>22. The operation leads to overlaps between the activities of the parties in the markets for pork from the second processing and charcuterie products intended for the out-of-home catering sector.</w:t>
      </w:r>
    </w:p>
    <w:p>
      <w:r>
        <w:t>23. Regarding pork from the second processing intended for the out-of-home catering sector, the combined sales volumes of GDV and the Cooperl group are estimated to represent a market share of less than [0-5] %.</w:t>
      </w:r>
    </w:p>
    <w:p>
      <w:r>
        <w:t>24. In the market for charcuterie products intended for the out-of-home catering sector, the Cooperl group holds an estimated position of [10-20] % with a sales volume of […] tons. Nevertheless, with a sales volume of […] tons in 2010, GDV holds an extremely low market share, less than [0-5] %, and the operation will consequently only result in a marginal increase in market share.</w:t>
      </w:r>
    </w:p>
    <w:p>
      <w:r>
        <w:t>25. Regarding the distribution of food products to the out-of-home catering sector, the Competition Authority has also had the opportunity to emphasize the purchasing power of large national account clients, such as collective catering companies, restaurant chains, or public administrations. Indeed, their demand is not constrained by the preferences of their own clientele, that is to say, by the users of restaurants and collective canteens, as may be the case with well-known brands for supermarkets.</w:t>
      </w:r>
    </w:p>
    <w:p>
      <w:r>
        <w:t>26. Given the above, the present operation is not likely to harm competition in the markets for pork from the second processing and charcuterie products intended for the out-of-home catering sector through horizontal effects.</w:t>
      </w:r>
    </w:p>
    <w:p>
      <w:r>
        <w:rPr>
          <w:b/>
        </w:rPr>
        <w:t>[Pages 7–8]</w:t>
      </w:r>
    </w:p>
    <w:p>
      <w:r>
        <w:t>B. ANALYSIS OF VERTICAL EFFECTS</w:t>
      </w:r>
    </w:p>
    <w:p>
      <w:r>
        <w:t>27. GDV sources its supply from the first, second, and fourth processing markets of pork, in which the Cooperl group is active as a supplier. The pork meats are then distributed at retail by GDV to a clientele of individuals.</w:t>
      </w:r>
    </w:p>
    <w:p>
      <w:r>
        <w:t>28. A vertical concentration can restrict competition by making access to the markets in which the new entity will be active more difficult, potentially excluding competitors or penalizing them through increased costs. This lock-in can target downstream markets when the integrated company refuses to sell an input to its downstream competitors. The lock-in strategy can also concern upstream markets when the downstream branch of the integrated company refuses to purchase products from upstream manufacturers, thereby reducing their commercial outlets.</w:t>
      </w:r>
    </w:p>
    <w:p>
      <w:r>
        <w:t>29. The decision-making practice of the competition authorities generally dismisses these lock-in risks when the market share of the entity resulting from the operation in the relevant markets does not exceed 30%.</w:t>
      </w:r>
    </w:p>
    <w:p>
      <w:r>
        <w:t>30. However, according to the parties' estimates, in each of the upstream markets of the first, second, and fourth processing of pork, segmented according to the different criteria retained by the decision-making practice, the new entity will have a market share of less than 25%.</w:t>
      </w:r>
    </w:p>
    <w:p>
      <w:r>
        <w:t>31. Regarding the downstream markets for the retail distribution of butcher's meat and charcuterie, the notifying party indicates that, based on data from INSEE, GDV holds a national market share of less than [0-5]%. At the local level, the notifying party provided, for each area where GDV controls one or more butcher shops, a list of the main competing sales points specifying their nature (supermarkets or artisan butchers). In this regard, it is worth noting the strong geographical dispersion of GDV's butcher shops as well as, in each affected area, the significant number of competitors (artisan butcher-charcuteries or large food retailers). Finally, the notifying party argues that across all sales made in each of the aforementioned upstream markets, GDV's purchases represent less than [0-5]%.</w:t>
      </w:r>
    </w:p>
    <w:p>
      <w:r>
        <w:t>32. In light of the above, the present operation is not likely to harm competition through vertical effects in the various meat markets.</w:t>
      </w:r>
    </w:p>
    <w:p>
      <w:r>
        <w:t>DECIDES</w:t>
      </w:r>
    </w:p>
    <w:p>
      <w:r>
        <w:t>Sole Article: The operation notified under number 11-0056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