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https://www.autoritedelaconcurrence.fr/fr/decision-de-controle-des-concentrations/relative-la-prise-de-controle-exclusif-de-groupe-lucien</w:t>
      </w:r>
    </w:p>
    <w:p>
      <w:r>
        <w:t>Pages translated : 7</w:t>
      </w:r>
    </w:p>
    <w:p/>
    <w:p>
      <w:r>
        <w:rPr>
          <w:b/>
        </w:rPr>
        <w:t>[Pages 1–3]</w:t>
      </w:r>
    </w:p>
    <w:p>
      <w:r>
        <w:t>FRENCH REPUBLIC</w:t>
        <w:br/>
        <w:t>Decision No. 10-DCC-97 of August 30, 2010</w:t>
        <w:br/>
        <w:t>regarding the exclusive control of Groupe Lucien Barrière by</w:t>
        <w:br/>
        <w:t>the Desseigne-Barrière family</w:t>
        <w:br/>
        <w:t>The Competition Authority,</w:t>
        <w:br/>
        <w:t>Having regard to the notification file submitted in full to the concentrations service on July 27, 2010,</w:t>
        <w:br/>
        <w:t>regarding the exclusive control of Groupe Lucien Barrière by the Desseigne-Barrière family, formalized by the base document of introduction registered with the Financial Markets Authority on July 6, 2010;</w:t>
        <w:br/>
        <w:t>Having regard to Book IV of the Commercial Code relating to the freedom of prices and competition, and in particular its Articles L. 430-1 to L. 430-7;</w:t>
        <w:br/>
        <w:t>Having regard to the supplementary elements transmitted by the parties during the investigation;</w:t>
        <w:br/>
        <w:t>Adopts the following decision:</w:t>
        <w:br/>
        <w:t>I. The concerned companies and the operation</w:t>
        <w:br/>
        <w:t>A. THE COMPANIES</w:t>
        <w:br/>
        <w:t>1. The Desseigne-Barrière Family refers to Mr. Dominique Desseigne and his children, as well as the various family holding companies of which they hold 100% of the capital and which are shareholders of GLB. The Desseigne-Barrière Family is primarily active in the luxury hotel and casino sectors. It thus holds 70.1% of the capital and 82% of the voting rights of SFCMC, which operates two hotels – the Majestic Barrière hotel and the Gray d'Albion hotel – and two casinos – the Barrière Croisette casino and the Barrière les Princes casino – in Cannes. Furthermore, the Desseigne-Barrière Family holds 51% of the capital and voting rights of Groupe Lucien Barrière (hereinafter "GLB"). In 2009, the last closed financial year, the Desseigne-Barrière Family achieved a turnover of 72.3 million euros, exclusively in France.</w:t>
        <w:br/>
        <w:t>2. Groupe Lucien Barrière is a simplified joint-stock company whose capital is currently 51% owned by the Desseigne-Barrière family, the remainder being held by the Accor Group. In a recent decision, No. COMP/5786 of May 21, 2010, the European Commission considered that the Desseigne-Barrière Family and Accor jointly controlled GLB. GLB's activities include the management of casinos (notably on the Côte d'Azur), hotels, thalassotherapy centers, restaurants, and golf courses, primarily in a high-end category. GLB is predominantly active in France, although it is also present in Switzerland (three casinos), Malta (one casino), Morocco (one hotel), and Egypt (one casino). Additionally, through its jointly controlled subsidiary with Française des Jeux, LB Poker, GLB is preparing to enter the online poker market in France. Furthermore, through its subsidiary Barrière Interactive Gaming ("BIG"), GLB provides online casino and poker games in Malta and the United Kingdom. In 2009, the last closed financial year, GLB achieved a global turnover of 579.4 million euros, of which [&gt;50] million euros in France.</w:t>
        <w:br/>
        <w:t>B. THE OPERATION</w:t>
        <w:br/>
        <w:t>3. As part of the refocusing of its activities, the Accor group decided to sell all or part of the shares it holds in GLB on the regulated market Euronext Paris. The Desseigne-Barrière Family, for its part, will not sell any shares of GLB. Following the sale planned by the Accor group, GLB will be transformed into a public limited company with a board of directors, each shareholder holding as many voting rights as they have shares. Consequently, the Desseigne-Barrière Family will hold the majority of the capital and votes at the general meeting. Thus, it will acquire exclusive control of GLB.</w:t>
        <w:br/>
        <w:t>4. Insofar as it results in the transition from jointly exercised control over GLB by Accor and the Desseigne-Barrière family to exclusive control by the latter, the notified operation constitutes a concentration within the meaning of Article L. 430-1 of the Commercial Code. Given the turnover of the concerned companies, it does not have a community dimension. However, the control thresholds mentioned in Article L. 430-2 of the Commercial Code are exceeded. This operation is therefore subject to the provisions of Articles L. 430-3 and following of the Commercial Code relating to economic concentration.</w:t>
        <w:br/>
        <w:t>II. Delimitation of relevant markets</w:t>
        <w:br/>
        <w:t>5. Given the activities carried out by the parties, this operation involves overlaps in the hotel and casino sectors.</w:t>
        <w:br/>
        <w:t>1 The creation of LB Poker was authorized by decision of the European Commission on May 21, 2010, case No. COMP/5786.</w:t>
        <w:br/>
        <w:t>2 A double voting right may be granted to all fully paid shares for which there is justification of a nominative registration in the name of the same shareholder for at least two years.</w:t>
      </w:r>
    </w:p>
    <w:p>
      <w:r>
        <w:t>A. DELIMITATION OF PRODUCT MARKETS</w:t>
        <w:br/>
        <w:t>1. THE CASINO SECTOR</w:t>
        <w:br/>
        <w:t>6. The casino sector in France is subject to significant regulation. Indeed, under the amended law of June 15, 1907, gaming authorizations and concessions can only be granted for the operation of casinos located in seaside, spa, or climatic resorts. These authorizations can also be issued for establishments located in agglomerations with more than 500,000 inhabitants, provided they are classified as "tourism" or "tourist resorts" and contribute more than 40% to the operation of a theater, orchestra, or opera with regular activity. Furthermore, French regulations prohibit the opening of a casino less than 100 km from Paris, with the exception of the casino in the town of Enghien-les-Bains classified as a spa resort.</w:t>
        <w:br/>
        <w:t>7. The establishment of a casino is subject to a public service delegation agreement between the concerned municipality and the operator, based on a precise specifications document and following a call for tenders initiated by the said municipality. After being selected, the delegatee must also obtain an operating authorization issued by the Ministry of the Interior. The decree sets the duration of the authorization, which generally does not exceed 5 years, and determines the nature of the authorized games, the number of slot machines that can be operated, as well as the operation and conditions of exploitation of the casino (notably surveillance measures, admission conditions, and opening hours).</w:t>
        <w:br/>
        <w:t>8. Considering these establishment modalities, the European Commission has deemed it appropriate to distinguish an upstream market for obtaining public service delegations following calls for tenders, as well as a downstream market for the operation of casinos.</w:t>
        <w:br/>
        <w:t>9. Furthermore, in the downstream market for the operation of casinos, the Minister of Economy, in his letter No. C2004-117 mentioned above, made a distinction between the market for table games and that for slot machines, due to differences in access conditions, game rules, and minimum bets.</w:t>
        <w:br/>
        <w:t>10. There is no need to challenge these delimitations during the examination of the present operation.</w:t>
        <w:br/>
        <w:t>2. THE HOTEL SECTOR</w:t>
        <w:br/>
        <w:t>11. The decision-making practice, both community and national, has considered two types of segmentation regarding the hotel sector.</w:t>
        <w:br/>
        <w:t>12. Firstly, the hotel market can be segmented according to the price and degree of comfort of the hotel, referring either to the classification or the number of stars of the establishments. The European Commission has also questioned a possible segmentation of the market according to existing star classification categories. For its...</w:t>
      </w:r>
    </w:p>
    <w:p>
      <w:r>
        <w:rPr>
          <w:b/>
        </w:rPr>
        <w:t>[Pages 4–6]</w:t>
      </w:r>
    </w:p>
    <w:p>
      <w:r>
        <w:t>part, the Competition Council, in its decision No. 05-D-64 of November 25, 2005, considered that it was appropriate to retain a distinct market for Parisian palaces.</w:t>
      </w:r>
    </w:p>
    <w:p>
      <w:r>
        <w:t>13. Secondly, the hotel market can be segmented based on the mode of operation of the establishments, depending on whether or not they belong to a hotel chain. Indeed, it has notably been noted that certain clients such as tour operators, travel agencies, and large companies primarily use hotel chains, and this within a pre-negotiated framework (in terms of price, payment deadlines, commissions, or discounts).</w:t>
      </w:r>
    </w:p>
    <w:p>
      <w:r>
        <w:t>14. In this case, the question of the exact delimitation of the hotel markets can be left open insofar as whatever the segmentation retained, the conclusions of the analysis remain unchanged.</w:t>
      </w:r>
    </w:p>
    <w:p>
      <w:r>
        <w:t>B. DELIMITATION OF GEOGRAPHICAL MARKETS</w:t>
        <w:br/>
        <w:t>1. THE CASINO SECTOR</w:t>
        <w:br/>
        <w:t>15. Regarding the obtaining of public service delegations following calls for tenders, the decision-making practice retains a market of at least national dimension.</w:t>
      </w:r>
    </w:p>
    <w:p>
      <w:r>
        <w:t>16. As for the operation of casinos, both national and community competition authorities have retained a local dimension corresponding to a catchment area of one hour's drive around the establishment concerned. Furthermore, in areas where there is a high density of casinos, the catchment areas of these casinos overlap to a very significant extent. The decision-making practice thus notes that it is possible that a chain substitution effect could lead to a homogenization of competitive conditions over a geographical area larger than that corresponding to a one-hour transport catchment area. In such a configuration, the competition authorities have considered a broader geographical market than the strict limits of a catchment area as defined previously. The Minister of Economy thus considered, in his letter No. C2004-117, a market for the operation of casinos across the entire Côte d'Azur.</w:t>
      </w:r>
    </w:p>
    <w:p>
      <w:r>
        <w:t>17. There is no need to call into question these delimitations during the examination of the present operation.</w:t>
      </w:r>
    </w:p>
    <w:p>
      <w:r>
        <w:t>18. In this case, regarding the operation of casinos, the Desseigne-Barrière family is only active in the city of Cannes where it owns two establishments via SFCMC. Consequently, the competitive analysis of the operation will be conducted at the level of the Côte d'Azur as well as on the gaming basin of Cannes, defined as the area encompassing all casinos located within one hour's drive from Cannes.</w:t>
      </w:r>
    </w:p>
    <w:p>
      <w:r>
        <w:t>6 It should be noted that in letter No. C2005-91 of September 16, 2005, the Minister of Economy also questioned the existence of a distinct market concerning palaces in general.</w:t>
      </w:r>
    </w:p>
    <w:p>
      <w:r>
        <w:t>7 The Barrière Croisette casino and the Barrière les Princes casino.</w:t>
      </w:r>
    </w:p>
    <w:p>
      <w:r>
        <w:t>2. THE HOTEL SECTOR</w:t>
        <w:br/>
        <w:t>19. The competition authorities consider that the hotel market can be analyzed at both the national and local levels.</w:t>
      </w:r>
    </w:p>
    <w:p>
      <w:r>
        <w:t>20. In this case, in the hotel sector, SFCMC is present only in the city of Cannes, where it operates two establishments: the Majestic Barrière hotel and the Gray d'Albion hotel. GLB, for its part, operates hotels in France in Paris (1 hotel), Enghien-les-Bains (2 hotels), Deauville (3 hotels), Dinard (1 hotel), and La Baule (4 hotels). Consequently, the operation only results in an overlap of activities if a national market dimension is retained.</w:t>
      </w:r>
    </w:p>
    <w:p>
      <w:r>
        <w:t>21. The question of the exact geographical delimitation of the hotel markets can, however, be left open insofar as whatever the segmentation retained, the conclusions of the analysis remain unchanged.</w:t>
      </w:r>
    </w:p>
    <w:p>
      <w:r>
        <w:t>III. Competitive Analysis</w:t>
        <w:br/>
        <w:t>A. THE CASINO SECTOR</w:t>
        <w:br/>
        <w:t>1. THE UPSTREAM MARKET FOR OBTAINING PUBLIC SERVICE DELEGATIONS FOLLOWING CALLS FOR TENDERS</w:t>
        <w:br/>
        <w:t>22. At the national level, in the upstream market for obtaining public service delegations following calls for tenders, GLB's market share in terms of the number of casinos is estimated at 16.5% and that of the Desseigne-Barrière family (via SFCMC) at 1%. Following the operation, the Desseigne-Barrière family will thus hold an estimated market share of 17.5%. It will also continue to face competition from the Partouche group (approximately 22% market share), JOA (formerly Moliflor, approximately 10% market share), and Tranchant (approximately 9% market share).</w:t>
      </w:r>
    </w:p>
    <w:p>
      <w:r>
        <w:t>2. THE DOWNSTREAM MARKET FOR THE OPERATION OF CASINOS</w:t>
        <w:br/>
        <w:t>23. As a preliminary point, it should be recalled that the creation of GLB was authorized by the Minister of Economy on the condition of the divestiture of two casinos, one on the Basque-Land coast and the other on the Côte d'Azur. This commitment was implemented by GLB, which sold the Hossegor casino in February 2006 and the Mandelieu hotel-casino in November 2006.</w:t>
      </w:r>
    </w:p>
    <w:p>
      <w:r>
        <w:t>24. Regarding the operation of casinos on the Côte d'Azur, the market shares in gross gaming revenue (GGR) of GLB, SFCMC, and their main competitors are presented in the following table:</w:t>
      </w:r>
    </w:p>
    <w:p>
      <w:r>
        <w:t>8 Letter from the Minister of Economy C2004-117 of July 28, 2004</w:t>
      </w:r>
    </w:p>
    <w:p>
      <w:r>
        <w:t>9 Amounts lost by players before tax deductions.</w:t>
      </w:r>
    </w:p>
    <w:p>
      <w:r>
        <w:t>PDM10 GGR Table Games (%) Slot Machines (%) Global GGR (%)</w:t>
        <w:br/>
        <w:t>2008-2009</w:t>
        <w:br/>
        <w:t>GLB 18.7 7.6 22.3</w:t>
        <w:br/>
        <w:t>SFCMC 9.5 6.3 10.5</w:t>
        <w:br/>
        <w:t>GLB+SFCMC 28.2 13.9 32.8</w:t>
        <w:br/>
        <w:t>Partouche 15.2 9.9 16.9</w:t>
        <w:br/>
        <w:t>JOA 4.8 0.9 6.1</w:t>
        <w:br/>
        <w:t>Tranchant 2.3 0.5 2.9</w:t>
        <w:br/>
        <w:t>SBM11 42.5 73 32.6</w:t>
        <w:br/>
        <w:t>Others 7 1.8 8.7</w:t>
        <w:br/>
        <w:t>Total 100 100 100</w:t>
      </w:r>
    </w:p>
    <w:p>
      <w:r>
        <w:t>25. Regarding the operation of casinos in the gaming basin of Cannes, the positions of the new entity as well as those of its main competitors are presented below:</w:t>
      </w:r>
    </w:p>
    <w:p>
      <w:r>
        <w:t>PDM12 GGR Table Games (%) Slot Machines (%) Global GGR (%)</w:t>
        <w:br/>
        <w:t>2008-2009</w:t>
        <w:br/>
        <w:t>GLB 20 7.7 24.4</w:t>
        <w:br/>
        <w:t>SFCMC 10.2 6.4 11.5</w:t>
        <w:br/>
        <w:t>GLB+SFCMC 30.2 14 35.9</w:t>
        <w:br/>
        <w:t>Partouche 11.7 9.4 12.6</w:t>
        <w:br/>
        <w:t>JOA 5.1 0.9 6.6</w:t>
        <w:br/>
        <w:t>Tranchant 2.5 0.5 3.2</w:t>
        <w:br/>
        <w:t>SBM13 45.6 73.9 35.6</w:t>
        <w:br/>
        <w:t>Others 4.9 1.3 6.1</w:t>
        <w:br/>
        <w:t>Total 100 100 100</w:t>
      </w:r>
    </w:p>
    <w:p>
      <w:r>
        <w:t>26. Following the operation, the market shares of the Desseigne-Barrière family, respectively on the Côte d'Azur and the gaming basin of Cannes, will thus be 28.2% and 30.2% in the overall market, 13.9% and 14% in the table games market, and 32.8% and 35.9% in the slot machines market. Whether on the Côte d'Azur or the gaming basin of Cannes, the Desseigne-Barrière family will continue to face competition, notably from SBM (Société des bains de mer de Monaco), the leader in the overall casino operation market as well as in the table games market, as well as from the Partouche group.</w:t>
      </w:r>
    </w:p>
    <w:p>
      <w:r>
        <w:t>27. Furthermore, the notifying party emphasizes that following the operation authorized by the Minister, the Desseigne-Barrière family already exercised joint control over GLB and effectively played a determining role in its strategy. Mr. Dominique Desseigne is thus...</w:t>
      </w:r>
    </w:p>
    <w:p>
      <w:r>
        <w:rPr>
          <w:b/>
        </w:rPr>
        <w:t>[Pages 7–7]</w:t>
      </w:r>
    </w:p>
    <w:p>
      <w:r>
        <w:t>strongly involved in the management of GLB, of which he has been the chairman of the supervisory board and the strategic committee since 2004.</w:t>
        <w:br/>
        <w:t>* * *</w:t>
        <w:br/>
        <w:t>28. In light of the above, the present operation is not likely to harm competition in the market for the operation of casinos, nor in the market for obtaining public service delegations following calls for tenders.</w:t>
        <w:br/>
        <w:t>B. THE HOTEL SECTOR</w:t>
        <w:br/>
        <w:t>29. As previously indicated, in the hotel sector, SFCMC is present only in the city of Cannes where it operates two establishments. GLB, for its part, operates hotels in France in Paris, Enghien-les-Bains, Deauville, Dinard, and La Baule. Consequently, the operation does not result in any overlap of activities at the local level.</w:t>
        <w:br/>
        <w:t>30. Furthermore, at the national level, the operation is unlikely to have any impact on competition regardless of the precise definition of the service market adopted, as SFCMC only owns two hotels in France.</w:t>
        <w:br/>
        <w:t>DECIDES</w:t>
        <w:br/>
        <w:t>Sole Article: The operation notified under number 10-0107 is authorized.</w:t>
        <w:b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