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https://www.autoritedelaconcurrence.fr/fr/decision-de-controle-des-concentrations/relative-la-prise-de-controle-exclusif-de-holding-saint</w:t>
      </w:r>
    </w:p>
    <w:p>
      <w:r>
        <w:t>Pages translated : 13</w:t>
      </w:r>
    </w:p>
    <w:p/>
    <w:p>
      <w:r>
        <w:rPr>
          <w:b/>
        </w:rPr>
        <w:t>[Pages 1–3]</w:t>
      </w:r>
    </w:p>
    <w:p>
      <w:r>
        <w:t>FRENCH REPUBLIC</w:t>
        <w:br/>
        <w:t>Decision No. 12-DCC-84 of June 21, 2012</w:t>
        <w:br/>
        <w:t>regarding the exclusive control of Holding Saint Amand</w:t>
        <w:br/>
        <w:t>by the company Alma</w:t>
        <w:br/>
        <w:t>The Competition Authority,</w:t>
        <w:br/>
        <w:t>Having regard to the notification file sent to the merger service on March 26, 2012, declared complete on May 15, 2012, regarding the exclusive control of Holding Saint Amand by the company Alma, formalized by a protocol dated January 20, 2012;</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Alma is controlled by the family company Roxinvest, which holds […] % of the capital, the remainder being held by the Japanese company Otsuka Pharmaceuticals CO LTD. Alma directly or indirectly controls various companies active in the production and marketing of bottled water, both still and sparkling, and to a more marginal extent, non-alcoholic refreshing beverages. For the needs of its activity, Alma operates twenty-seven production and bottling sites for water in France, two in Italy, and one in Luxembourg. Alma also operates forty-six springs, of which forty-one are owned by it, four are entrusted to it under agreements between the municipalities and some of its subsidiaries, and the last spring belongs to the State. The main national brands of water marketed by Alma are Cristaline, Courmayeur, and Thonon for still waters and St Yorre, Vichy Célestins, Vernière, Rozana for sparkling waters. Alma also produces and markets regional brands such as Pierval, Chambon, Roxane, Vals, and Mont Dore. Apart from its activity of producing and marketing bottled water under its own brands, Alma supplies various large retail chains with private label brands, including hard discount.</w:t>
      </w:r>
    </w:p>
    <w:p>
      <w:r>
        <w:t>2. Holding Saint Amand (hereinafter "Saint Amand") is owned by the Chantraine family to the extent of […] %, by various financial investors ([Confidential]) to the extent of […] %, and by the Caisse Régionale de Crédit Agricole Mutuel Nord de France (hereinafter "Crédit Agricole") to the extent of […] %. Saint Amand owns six operational entities, one of which is located in Belgium, that produce and market still and sparkling waters. The main national brand of Saint Amand is Saint Antonin. Saint Amand also markets regional brands such as Saint Amand, Roche des Ecrins, and Opaline. Apart from its activity of producing and marketing bottled water under its own brands, Saint Amand supplies various large retail chains with private label brands, mainly large and medium-sized retail outlets (hereinafter "GMS").</w:t>
      </w:r>
    </w:p>
    <w:p>
      <w:r>
        <w:t>3. Under the protocol dated January 20, 2012, the operation consists of the transfer, for the benefit of Alma, of […] % of the capital held by Crédit Agricole, which will retain […] % of the capital of Saint Amand, as well as […] % of the capital of Saint Amand held by the financial investors. Following the operation, the shareholding of Saint Amand will be as follows: Chantraine family ([…] %), Crédit Agricole ([…] %), Alma ([…] %). [Confidential], the governance of Saint Amand will be governed by its statutes [Confidential]. The management board will consist of 3 members (one representative from each shareholder), with decisions being made by a simple majority. The supervisory board will consist of 6 members (2 members per shareholder), with decisions being made by a simple majority. [Confidential]. Furthermore, Alma's arrival occurs in a difficult financial situation for Saint Amand, which shows a loss of […] million euros between 2009 and 2011. It is in this context that the financial investors decided to exit the capital, that Crédit Agricole was led to reduce its level of participation, and that the shareholders began to seek a new industrial shareholder capable, through its financial capabilities and industrial and commercial experience, of participating in the recovery of Saint Amand. All these elements attest to the willingness of Alma and its co-shareholders for Alma to have a decisive influence on the industrial and commercial strategy as well as on the management of Saint Amand. As it results in the exclusive control of the company Saint Amand by the company Alma, the operation constitutes a concentration operation within the meaning of Article L. 430-1 of the Commercial Code.</w:t>
      </w:r>
    </w:p>
    <w:p>
      <w:r>
        <w:t>4. The concerned companies together achieve a total worldwide turnover of more than 150 million euros (Alma group: […] million euros for 2010; Saint Amand: […] million euros). At least two of these companies achieve a turnover in France exceeding 50 million euros (Alma group: […] million euros; Saint Amand: […] million euros).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II. Delimitation of relevant markets</w:t>
        <w:br/>
        <w:t>5. Both parties offer bottled water and non-alcoholic refreshing beverages.</w:t>
      </w:r>
    </w:p>
    <w:p>
      <w:r>
        <w:t>6. Previous decision-making practice has made a distinction between the market for bottled water from a natural spring (including mineral waters) and the market for non-alcoholic refreshing beverages, taking into account the following factors:</w:t>
        <w:br/>
        <w:t>- at the demand level, there are differences in terms of consumption motivation, product composition, taste, and intended use. Furthermore, the elasticity of demand concerning price changes for bottled waters is low;</w:t>
        <w:br/>
        <w:t>- at the supply level, the differences concern the structure of production and marketing of bottled water compared to other beverages (existence of specific regulatory provisions, difference in operators), pricing policies, and the absence of substitutability of supply.</w:t>
      </w:r>
    </w:p>
    <w:p>
      <w:r>
        <w:t>7. Regarding non-alcoholic refreshing beverages, the parties offer sparkling drinks excluding "cola" and non-sparkling drinks to GMS. In each of these two segments, the presence of the Saint Amand Group is marginal (market share below [0-5] %) and the cumulative market share of the new entity will not exceed [10-20] % in the first and [0-5] % in the second. These markets will therefore not be subject to a more detailed analysis.</w:t>
      </w:r>
    </w:p>
    <w:p>
      <w:r>
        <w:t>8. Alma, through its subsidiary Regina, also has a preform manufacturing activity, which are blown to obtain PET bottles. However, since Alma only produces preforms for its internal needs and the purchases of preforms by Saint Amand represent only an insignificant proportion of sales, this market will not be subject to a specific competitive analysis.</w:t>
      </w:r>
    </w:p>
    <w:p>
      <w:r>
        <w:t>9. Consequently, only the bottled water market will be analyzed in detail.</w:t>
        <w:br/>
        <w:t>A. DELIMITATION OF PRODUCT MARKETS</w:t>
        <w:br/>
        <w:t>10. Several segmentations of the bottled water market can be considered depending in particular on the type of products, distribution channel, or their commercial positioning.</w:t>
      </w:r>
    </w:p>
    <w:p>
      <w:r>
        <w:t>1. SEGMENTATION ACCORDING TO TYPE OF WATER</w:t>
        <w:br/>
        <w:t>11. The bottled water sector includes spring water and mineral water. These two types of water are defined as natural waters from underground sources, whose exploitation is subject to approval from the competent authorities and which are not subject to chemical treatment, biological disinfection, or any addition of products. Mineral waters also have characteristics defined by law (stable physicochemical composition and quality).</w:t>
      </w:r>
    </w:p>
    <w:p>
      <w:r>
        <w:t>12. Regarding a possible distinction between spring water and mineral water, decision-making practice has never considered it. It emerges from the investigation that concerning demand, consumers do not distinguish, in their purchasing decision, between spring water and mineral water. They are indeed the same product, the only</w:t>
      </w:r>
    </w:p>
    <w:p>
      <w:r>
        <w:rPr>
          <w:b/>
        </w:rPr>
        <w:t>[Pages 4–6]</w:t>
      </w:r>
    </w:p>
    <w:p>
      <w:r>
        <w:t>difference being that mineral waters must meet a minimum mineral content and their physico-chemical composition must be stable. Except for certain mineral waters that are heavily loaded with mineral salts such as Contrex or Hépar, most bottled waters are not distinguishable in terms of quality or taste. Spring waters are generally cheaper than mineral waters, but as Danone points out, "price differences are not always very significant. For example, the brand Saint Amand, which is a mineral water, is not much more expensive than the brand Cristaline, which is a spring water, and these two brands exert significant competitive pressure on each other. There are also mineral waters sold under private labels at reduced prices."</w:t>
      </w:r>
    </w:p>
    <w:p>
      <w:r>
        <w:t>13. Regarding the supply, the methods of sourcing and bottling spring waters and mineral waters are identical, but unlike spring waters, mineral waters must comply with a requirement for stability in their mineral composition. A large portion of the main bottled water producers market both spring waters and mineral waters. Therefore, the analysis will not distinguish between these two types of waters. It should be noted that Alma primarily produces and markets spring waters while Saint Amand primarily produces and markets mineral waters.</w:t>
      </w:r>
    </w:p>
    <w:p>
      <w:r>
        <w:t>14. Concerning a possible distinction between still water and sparkling water, the Commission, without further commenting on the exact delimitation of the market, indicated that substitutability from the supply side supported a global market for products, given that the majority of Italian producers produced both still and sparkling water and that a large portion of them used the same brand for these two types of water. However, in the same decision, the Commission added that a distinction between still and sparkling water from the demand side could be supported. Indeed, the Commission noted that still water consumers would not turn to sparkling water in the event of a significant and regular increase in the price of still water; conversely, sparkling water consumers would more easily switch to still water in the event of a price increase. In the present case, the market test confirmed that, from the demand perspective, consumers would not turn to another type of water in the event of a price increase of one of them. From the supply perspective, it is also true that the majority of producers produce both still and sparkling water, even though in France, the brands used are not the same for still and sparkling water.</w:t>
      </w:r>
    </w:p>
    <w:p>
      <w:r>
        <w:t>15. In any case, in this instance, the conclusions of the competitive analysis remain the same regardless of the delimitation chosen, so this question can be left open. The competitive analysis will be conducted both by segmenting between still water and sparkling water as well as on a global market.</w:t>
      </w:r>
    </w:p>
    <w:p>
      <w:r>
        <w:t>2. SEGMENTATION ACCORDING TO DISTRIBUTION CHANNEL</w:t>
      </w:r>
    </w:p>
    <w:p>
      <w:r>
        <w:t>16. The decision-making practice regarding beverages, whether alcoholic or not, generally segments the market based on the distribution channel. It distinguishes the marketing of beverages intended for consumption away from home (cafés, hotels, restaurants, or CHR) known as on-trade, from the marketing of beverages intended for home consumption, distributed by large retail chains and known as off-trade.</w:t>
      </w:r>
    </w:p>
    <w:p>
      <w:r>
        <w:t>17. Regarding the bottled water sector (still and sparkling), the relevance of such a distinction is confirmed, and approximately 80% of sales are made through the off-trade channel.</w:t>
      </w:r>
    </w:p>
    <w:p>
      <w:r>
        <w:t>18. Consequently, there is no need to challenge this segmentation on the occasion of the present operation.</w:t>
      </w:r>
    </w:p>
    <w:p>
      <w:r>
        <w:t>3. SEGMENTATION ACCORDING TO PRODUCT POSITIONING</w:t>
      </w:r>
    </w:p>
    <w:p>
      <w:r>
        <w:t>19. In the off-trade channel, Alma and Saint Amand market their waters to large retail chains as well as hard discount stores, which then sell them to the final consumer. The supply chain thus comprises two levels: an upstream level where the parties are present, linking suppliers and large retail chains, and a downstream level linking large retail chains and the final consumer. The parties only intervene at the stage of supplying the large retail chains and are not active at the stage of selling their products at retail. Only the upstream market of supply is therefore concerned by the operation.</w:t>
      </w:r>
    </w:p>
    <w:p>
      <w:r>
        <w:t>20. Different types of water are offered to the final consumer: branded products (products identified by a manufacturer brand, hereinafter referred to as "MDF") and products sold under private labels (hereinafter "MDD"). In this case, the term MDD will include products sold under private labels but also those sold under hard discounter brands and entry-level brands, these different products being identical in the bottled water sector and the results of the market test leading to the exclusion of the relevance of a sub-segmentation of MDD products. Alma markets [60-70]% of its volumes under MDF (including the brands Cristaline, Saint Yorre, Vichy Celestins) and [30-40]% under MDD. Saint Amand markets [30-40]% of its volumes under MDF (including the brand Saint Antonin) and [60-70]% under MDD.</w:t>
      </w:r>
    </w:p>
    <w:p>
      <w:r>
        <w:t>21. Regarding food products, the Competition Authority systematically questions the relevance at the upstream level of a distinction between, on the one hand, the market connecting MDD suppliers with large retail chains and, on the other hand, that connecting brand manufacturers and large retail chains. This is to assess whether a manufacturer holding a very strong position in one of these segments would be able to exert market power over distributors or whether a manufacturer's market power depends on the position it occupies in a global market for supplying products to large retail chains, whether they are MDF or MDD.</w:t>
      </w:r>
    </w:p>
    <w:p>
      <w:r>
        <w:t>22. In the decision of July 22, 1992, Nestlé/Perrier, the Commission did not distinguish between waters sold under MDF and waters sold under MDD. The analysis of the functioning of the market at the date of this decision leads to the same conclusion.</w:t>
      </w:r>
    </w:p>
    <w:p>
      <w:r>
        <w:t>23. Certainly, as the Authority has noted in other food product markets, the supply methods in the large retail chain circuit differ between waters sold under MDD and products sold under MDF. Indeed, water sold under MDD is produced based on a specification provided by the buyer detailing the expected characteristics of the product. In this context, the supplier only intervenes in accordance with the specification and has no role in defining the commercial strategies of these brands (decisions on launching new products, communication policy, etc.), unlike MDF suppliers. The identity of an operator supplying a brand for its MDD is thus not known to the final consumer. Furthermore, large retail chains can procure their MDD through tenders, formalized by the signing of contracts, often of very short duration (one year) or for an indefinite period with the possibility of terminating at any time subject to notice. In contrast, MDF purchases are subject to a listing contract within the framework of negotiated agreements where the brand and the promotional efforts related to it play an important role.</w:t>
      </w:r>
    </w:p>
    <w:p>
      <w:r>
        <w:t>24. However, the common belonging of MDD and MDF to the same upstream product market also depends on factors other than the supply process. It is particularly important to consider whether, from the supply side, the main operators provide both categories of product. In this case, the positions of suppliers in both segments can jointly determine the utilization of their capacities, their profitability, and their development prospects. Similarly, if the analysis of the operation concerns exclusively the upstream market of supply, the competitive pressure that MDF and MDD producers may exert on each other is closely influenced by consumer behavior in the downstream markets connecting large retail chains with customers, and thus the substitutability, from the consumers' perspective, between the different products. Negotiations between large retail chains and their suppliers indeed take place in a different competitive context depending on the degree of differentiation of the products in terms of taste, quality, price, or packaging and according to the brand recognition of manufacturers.</w:t>
      </w:r>
    </w:p>
    <w:p>
      <w:r>
        <w:t>25. Generally speaking, a high penetration rate of MDD may indicate that consumers consider them largely substitutable for MDF. In this case, in the still water segment, the penetration rate of MDD is relatively low compared to what can be observed for other food products since it represents about 15% in value and 20% in volume of bottled water sales made to large retail chains. However, this criterion should be put into perspective in this case. Indeed, a large portion of the interviewed actors emphasized the role of Cristaline, an MDF whose particularly low price is equal to or even lower than the still waters sold under MDD. This specificity is likely to influence the penetration rate of MDD in the bottled water market in France.</w:t>
      </w:r>
    </w:p>
    <w:p>
      <w:r>
        <w:t>26. The majority of distributors interviewed in the market test consider that MDD constitutes a distinct market from that of MDF. In contrast, the majority of competitors believe that MDD and MDF are largely substitutable. Some of them believe that, within the same price range, consumers do not differentiate between MDD and MDF, and consequently, it would be more relevant to operate a segmentation between entry-level waters (whose price does not exceed 22 cents per liter) that can be marketed under either MDF or MDD and which are most often spring waters, on the one hand, and "premium" waters, which are essentially mineral waters sold at a higher price (about three times more expensive) and which benefit from a strong image in terms of nutritional quality, on the other hand.</w:t>
      </w:r>
    </w:p>
    <w:p>
      <w:r>
        <w:t>27. However, as noted above in § 12, the quality difference between spring waters and mineral waters is insufficient for it to be relevant to delineate two distinct markets. Similarly, a delineation between low-end waters and premium waters cannot rely on a decisive quality difference between the waters in question, contrary to the observations made in other product markets.</w:t>
      </w:r>
    </w:p>
    <w:p>
      <w:r>
        <w:rPr>
          <w:b/>
        </w:rPr>
        <w:t>[Pages 7–9]</w:t>
      </w:r>
    </w:p>
    <w:p>
      <w:r>
        <w:t>in the same way, a delimitation between low-end waters and premium waters cannot rely on a decisive difference in quality between the waters in question, contrary to what can be observed for other product markets where segmentation in terms of quality levels has been carried out (cosmetics, clothing).</w:t>
      </w:r>
    </w:p>
    <w:p>
      <w:r>
        <w:t>28. Furthermore, while in general, private label brands (MDD) are cheaper than national brands (MDF), whose sales are supported by significant advertising campaigns, this observation must be qualified. Cristaline, which is a national brand, is sold at a lower price than certain private label brands. Conversely, branded waters are regularly subject to promotions that frequently bring them to a price level equivalent to that of private label brands. Indeed, in a context of significant market decline in 2007 and its relative stagnation since, national brands have intensified their promotional policies to revitalize their sales. Thus, retailers schedule a promotional catalog every 7 to 10 days, within which the presence of bottled waters is almost systematic, alternating from one national brand to another according to the marketing plans of large retailers. This phenomenon leads to the almost permanent presence in the shelves of large retailers of offers of major brand waters at reduced prices (which can go down to 11 cents per liter), effectively positioning these brands at the same price level as private label brands. In any case, the price differential existing between major national brands and local waters, mainly spring waters, had already been noted by the European Commission in its aforementioned Nestlé/Perrier decision, without it concluding that there should be a segmentation of the product market, but only the more appropriate nature of analyzing market shares in value to better reflect the economic power of the different players.</w:t>
      </w:r>
    </w:p>
    <w:p>
      <w:r>
        <w:t>29. Consumer studies, which reflect consumer behavior and the definitive sourcing behaviors of retailers, corroborate the existence of substitutability between waters sold under private labels and those sold under national brands. They indicate that consumers are very little loyal to brands. Indeed, the percentage of consumers loyal to a brand, including major national brands, is at most 10%, this percentage varying from 1% to 10% depending on the brands. Furthermore, nearly 80% of surveyed consumers believe that still waters from different manufacturers are all equivalent, this proportion (76%) being only slightly lower for sparkling waters. Regarding consumer perception between national brands and private labels for still waters, 88.3% of consumers do not notice any difference in quality between these two categories of products.</w:t>
      </w:r>
    </w:p>
    <w:p>
      <w:r>
        <w:t>30. Regarding supply, a number of operators in the sector such as Européenne d’Embouteillage, Semo Groupe, and the parties to the operation, supply large retail chains with both national and private label brands. The two main players in the sector, Danone and Nestlé, currently only operate in the supply of national brands; however, this is a marketing choice that may evolve based on strategic and opportunistic considerations, as Nestlé has marketed waters under private labels in the past.</w:t>
      </w:r>
    </w:p>
    <w:p>
      <w:r>
        <w:t>31. Concerning sales networks, it should also be noted that premium water brands are marketed to all retail chains, including hard discount stores for the most part, in the same way as "entry-level" national brands.</w:t>
      </w:r>
    </w:p>
    <w:p>
      <w:r>
        <w:t>32. Given the existence of real competitive pressure between waters sold under private labels and those sold under national brands, whether they are "entry-level" or not, the competitive analysis concerning sales to large retail chains will be conducted on the markets involving large retail chains and all suppliers of national and private label products.</w:t>
      </w:r>
    </w:p>
    <w:p>
      <w:r>
        <w:t>B. DELIMITATION OF GEOGRAPHIC MARKETS</w:t>
        <w:br/>
        <w:t>33. The bottled water market has been considered a national market by the European Commission. Indeed, market access barriers, consumer preferences, and regulations related to bottle labeling are factors that differ from one national market to another. In particular, the importation of packaged waters, whether mineral or not, is subject to a prefectural authorization. Mineral waters are also subject to a prefectural recognition procedure leading to the registration of the concerned water in the Official Journal of the European Union (OJUE).</w:t>
      </w:r>
    </w:p>
    <w:p>
      <w:r>
        <w:t>34. There is no reason to challenge this delimitation on the occasion of the present operation.</w:t>
      </w:r>
    </w:p>
    <w:p>
      <w:r>
        <w:t>III. Competitive Analysis</w:t>
        <w:br/>
        <w:t>35. The parties are primarily present in the off-trade channel. Thus, the sales of Alma and Saint Amand in the on-trade channel represented in 2011 respectively [10-20]% and [5-10]% of their sales. The parties estimate their market shares in value in the on-trade segment at [10-20]% for Alma and [0-5]% for Saint Amand. Given that Saint Amand is a marginal operator in this segment, the operation will have no impact on the structure of competition in this distribution channel. Furthermore, the new entity will continue to face competition from major national brands (Evian, Vittel, Perrier, Badoit) and international brands (San Pellegrino).</w:t>
      </w:r>
    </w:p>
    <w:p>
      <w:r>
        <w:t>36. Consequently, the analysis of the operation will focus exclusively on the bottled water market in the off-trade segment.</w:t>
      </w:r>
    </w:p>
    <w:p>
      <w:r>
        <w:t>A. POSITION OF THE PARTIES</w:t>
        <w:br/>
        <w:t>37. Traditionally, value data, based on the turnover of the different players, are preferred as they more directly reflect their economic power in a market and their ability to develop by investing in industrial resources or in advertising and marketing expenditures. This is even more true in sectors where there are significant price gaps between the products of different operators. This is the case in the bottled water sector, and it was this that led the Commission in the Nestlé/Perrier case to conclude that "the considerable price difference existing between these two categories of waters and the importance of financial resources devoted to investment in advertising and marketing on this market lead the Commission to consider that it is more appropriate to take into account market shares expressed in value rather than those expressed in volume."</w:t>
      </w:r>
    </w:p>
    <w:p>
      <w:r>
        <w:t>38. As mentioned above, promotions are numerous, but on average, the price gaps between waters marketed by different suppliers persist. Thus, so-called premium brands such as Evian or Vittel are sold, excluding discounts, at a price approximately three times higher than the Cristaline brand. Consequently, market shares in value and volume are significantly different. For reference, both are presented below, knowing that the market power of the players is better revealed by market shares expressed in value:</w:t>
      </w:r>
    </w:p>
    <w:p>
      <w:r>
        <w:t>Saint Amand New entity</w:t>
        <w:br/>
        <w:t>2011 Alma Nestlé Danone Others</w:t>
        <w:br/>
        <w:t>Volume [30-40]% [0-5]% [30-40]% [20-30]% [20-30]% [10-20]%</w:t>
        <w:br/>
        <w:t>Sparkling waters</w:t>
        <w:br/>
        <w:t>Value [10-20]% [0-5]% [10-20]% [40-50]% [20-30]% [10-20]%</w:t>
        <w:br/>
        <w:t>Volume [40-50]% [5-10]% [50-60]% [10-20]% [10-20]% [10-20]%</w:t>
        <w:br/>
        <w:t>Still waters</w:t>
        <w:br/>
        <w:t>Value [20-30]% [0-5]% [20-30]% [20-30]% [20-30]% [10-20]%</w:t>
        <w:br/>
        <w:t>Volume [40-50]% [5-10]% [50-60]% [10-20]% [10-20]% [10-20]%</w:t>
        <w:br/>
        <w:t>All waters</w:t>
        <w:br/>
        <w:t>Value [20-30]% [0-5]% [20-30]% [30-40]% [20-30]% [10-20]%</w:t>
      </w:r>
    </w:p>
    <w:p>
      <w:r>
        <w:t>39. In the sparkling water segment, Alma will remain, with [10-20]% market share, the third operator in the market in value behind Nestlé ([40-50]%) and Danone ([20-30]%). In volume, Alma, with [30-40]% market share, will retain its position as the leading operator in the market ahead of Nestlé ([20-30]%) and Danone ([20-30]%). Saint Amand, however, is a marginal operator with a market share of [0-5]%, giving the new entity a minimal market share increment. Consequently, the structure of competition will not be altered in this segment.</w:t>
      </w:r>
    </w:p>
    <w:p>
      <w:r>
        <w:t>40. In the still water segment, the position of the new entity will be [20-30]% expressed in value. Alma will, after the operation, be the second operator in the market behind Nestlé ([20-30]%) and ahead of Danone ([20-30]%). Based on data expressed in volume, the new entity will be the leading operator in the market with a cumulative position of [50-60]%. This difference between Alma's market shares, expressed in volume and value, is mainly due to the price of Cristaline. Indeed, given the price positioning of this brand, Alma must, to achieve equivalent turnover, market a volume of Cristaline three times higher than the volume of Evian marketed by Danone or 2.5 times higher regarding the Contrex brand marketed by Nestlé.</w:t>
      </w:r>
    </w:p>
    <w:p>
      <w:r>
        <w:t>41. In a global market, it follows from the preceding data that the position of the new entity will be [20-30]% expressed in value. Therefore, Alma will retain, after the operation, its position as the third operator in the market behind Nestlé ([30-40]%) and Danone ([20-30]%). Based on data expressed in volume, the new entity will have a cumulative position of [50-60]%.</w:t>
      </w:r>
    </w:p>
    <w:p>
      <w:r>
        <w:t>42. Overall, the operation results in a strengthening of the position of the new entity against its two main competitors. It is necessary to analyze whether this is likely to favor a price increase of all or part of the products it will market to large retail chains or a coordination of its behavior with that of the other two main players.</w:t>
      </w:r>
    </w:p>
    <w:p>
      <w:r>
        <w:rPr>
          <w:b/>
        </w:rPr>
        <w:t>[Pages 10–12]</w:t>
      </w:r>
    </w:p>
    <w:p>
      <w:r>
        <w:t>B. ANALYSIS OF UNILATERAL EFFECTS</w:t>
        <w:br/>
        <w:t>1. THE REACTION CAPABILITIES OF COMPETITORS</w:t>
        <w:br/>
        <w:t>43. There are three main categories of bottled water suppliers: (i) suppliers that market bottled waters under both private label (MDF) and distributor brands (MDD), such as Alma and Saint Amand, but also Européenne d’Embouteillage (a subsidiary of Orangina Schweppes), Semo Groupe, and Resfresco; (ii) suppliers that market only bottled waters under their own brands, such as Danone and Nestlé, although Nestlé has also marketed its products under private labels in the past; (iii) large distributors, such as Intermarché and Leclerc, that own their own production and bottling sites and, through their subsidiaries Antartic and Aquamark, supply their points of sale with products from their brands but can also supply other distributors with private label products.</w:t>
      </w:r>
    </w:p>
    <w:p>
      <w:r>
        <w:t>44. Among these players, some are backed by large international groups such as Nestlé, Danone, or Orangina Schweppes. The two main competitors of the parties, Nestlé and Danone, hold significant market shares, in value or volume, and own highly recognized brands. Thus, among the five leading brands of still water sold in France in 2011 (Evian, Cristaline, Contrex, Volvic, Hepar), four of them are owned by these two groups. As previously noted, there are significant price differences between these major national brands and the prices of entry-level products, which constitute a significant share of the volumes marketed by the parties. However, these differences are occasionally mitigated, brand by brand, by the frequent and regular promotions described in point 28 above. This promotional policy ensures more direct competition between major national brands and entry-level brands and partially compensates for the withdrawal from the market of entry-level brands that were previously marketed by these large international groups.</w:t>
      </w:r>
    </w:p>
    <w:p>
      <w:r>
        <w:t>45. Regarding the smaller competitors of the parties, such as SEMO Groupe, which are family-owned companies with regional presence, they have available production capacities, both in terms of sourcing and bottling capabilities, that would allow them to position themselves with large retail chains in the event of price increases by the new entity. Thus, SEMO Groupe stated during the market test that "distributors could better understand the position of our family-owned and independent company and even wish to rebalance the supply of certain private label markets in our favor."</w:t>
      </w:r>
    </w:p>
    <w:p>
      <w:r>
        <w:t>46. On the other hand, the barriers to entry in this market are not negligible. Indeed, there are a large number of currently untapped sources. In fact, in 2005 in France, 200 sources remained untapped. The source water union estimates that this figure is between 50 and 100 today. The average amount of investment required to launch operations is limited, around 5 million euros (excluding buildings and land purchase), to which is added the cost of equipment estimated between 5 and 10 million euros. The average time frame for bringing a production site into operation and obtaining the necessary administrative authorizations is estimated to be between six months and one year.</w:t>
      </w:r>
    </w:p>
    <w:p>
      <w:r>
        <w:t>47. However, the irrecoverable marketing and advertising expenses necessary for launching a private label are high. Regarding private labels, the constraint related to transportation costs favors producers like the Alma group, which benefit from multiple sources and thus a relatively dense network across the territory (the distance between the source and the delivery location should not exceed 250 kilometers to maintain a competitive price). Thus, some market entries in recent years have proven to be failures, such as the subsidiaries of the Eurokin group (Alet and Soria), which were liquidated in 2011. Nevertheless, the sector has seen new entries that could invigorate a competitive fringe. For instance, the Mont Rouscous spring, sold by Danone in 2007, and the Abatilles spring, sold by Nestlé in 2008 to private individuals, have managed to sustain their activity through the launch of new brands (Eau minérale d’Arcachon for the Abatilles spring) or products adapted for babies (Mont Roucous).</w:t>
      </w:r>
    </w:p>
    <w:p>
      <w:r>
        <w:t>2. THE PURCHASING POWER OF CUSTOMERS</w:t>
        <w:br/>
        <w:t>48. Unlike large groups such as Danone and Nestlé, the parties to the operation only market water and, to a lesser extent, non-alcoholic soft drinks, which puts them in a weaker negotiating position compared to multi-product groups that can implement much more complex negotiation strategies with their customers. The purchasing power of large retailers is also favored by the fact that none of the parties' brands, including Cristaline, which owes its success to its low price rather than its brand image, can be considered essential brands. The private labels that distributors can develop compete directly with a brand like Cristaline.</w:t>
      </w:r>
    </w:p>
    <w:p>
      <w:r>
        <w:t>49. Furthermore, some distributors have demonstrated that it is possible for them to integrate the production chain upstream by exploiting their own sources and bottling capacities. This is notably the case for Intermarché (particularly under the brands Sainte Marguerite, Vernet, and Paimpont) and Leclerc (under the brand Laqueille). These chains are already participating, albeit relatively marginally to date, in the tenders of other chains for their supply of private labels, and at least one of them has residual production capacities of about double the current production.</w:t>
      </w:r>
    </w:p>
    <w:p>
      <w:r>
        <w:t>50. It follows from the above, particularly the existence of two major competitors and the purchasing power of large retailers, that the operation is not likely to harm competition through unilateral effects.</w:t>
      </w:r>
    </w:p>
    <w:p>
      <w:r>
        <w:t>C. ANALYSIS OF COORDINATED EFFECTS</w:t>
        <w:br/>
        <w:t>51. An operation can change the nature of competition in the market such that companies that previously did not coordinate their behavior become much more likely to do so, or, if they were already coordinating their behavior, can do so more easily. This is referred to as coordinated effects, creating or strengthening a collective dominant position or a collusive oligopoly, with the operation increasing the incentives and capacity of the companies present in the market to maintain a tacit collusive equilibrium. The coordination in question is "tacit" and not "express," with each company presumed to continue to behave independently, based on its own interests.</w:t>
      </w:r>
    </w:p>
    <w:p>
      <w:r>
        <w:t>52. Such effects are possible when, in an oligopolistic market or a highly concentrated market, a concentration operation results in each member of the concerned oligopoly recognizing common interests, making it economically rational and therefore preferable to adopt a sustained common course of action in the market to sell below competitive prices, without needing to conclude an agreement or resort to a concerted practice within the meaning of Articles L.420-1 of the Commercial Code or 181 TFEU, and without current or potential competitors, or customers and consumers, being able to react effectively.</w:t>
      </w:r>
    </w:p>
    <w:p>
      <w:r>
        <w:t>53. In this case, the notified operation leads to the disappearance of an independent player in the bottled water market in France. Even if its production is low, it strengthens Alma's market power and ipso facto increases the concentration rate of an already oligopolistic market. Indeed, following the operation, depending on the considered segmentations, 80 to 87% of the bottled water market will be held by the three leading players. It is therefore necessary to examine the risk of creating or strengthening a collective dominant position in this market.</w:t>
      </w:r>
    </w:p>
    <w:p>
      <w:r>
        <w:t>54. The Airtours/First Choice judgment of the Court and the Impala judgment of the Court of Justice of the European Union have clarified the necessary conditions for assessing coordinated effects: understanding condition, detection condition, deterrence condition, and non-contestation condition. In this case, the understanding and deterrence conditions are not met due to the structure of the market.</w:t>
      </w:r>
    </w:p>
    <w:p>
      <w:r>
        <w:t>55. Indeed, the main players are characterized by a significant asymmetry between their respective situations and therefore their strategic interests. Alma is a family-owned mono-product group that operates almost exclusively in the French market. Nestlé and Danone, on the other hand, are backed by multinational groups and market a wide range of products. This asymmetry is reflected in the type of products marketed. Indeed, Alma markets "entry-level" waters or private labels, while Nestlé and Danone market "premium" waters at prices, excluding discounts, significantly higher. The targeted promotional policy already mentioned several times above, while allowing for more direct confrontation in the market, is insufficient to align the respective interests of the two types of players. Under these conditions, a common definition of how coordination should function would be difficult and therefore unlikely.</w:t>
      </w:r>
    </w:p>
    <w:p>
      <w:r>
        <w:t>56. The disproportion between the Alma group, on one side, and Danone and Nestlé, on the other, further undermines the credibility of the notion that the operation could, by strengthening the position of the Alma group in the market concerned by the operation, give it the ability to ensure the discipline of any potential coordination.</w:t>
      </w:r>
    </w:p>
    <w:p>
      <w:r>
        <w:t>57. Consequently, the notified operation is not likely to harm competition in the bottled water market through coordinated effects.</w:t>
      </w:r>
    </w:p>
    <w:p>
      <w:r>
        <w:rPr>
          <w:b/>
        </w:rPr>
        <w:t>[Pages 13–13]</w:t>
      </w:r>
    </w:p>
    <w:p>
      <w:r>
        <w:t xml:space="preserve">DECIDE  </w:t>
        <w:br/>
        <w:t xml:space="preserve">Single Article: The operation notified under number 12-015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