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https://www.autoritedelaconcurrence.fr/fr/decision-de-controle-des-concentrations/relative-la-prise-de-controle-exclusif-de-iosis-holding-par</w:t>
      </w:r>
    </w:p>
    <w:p>
      <w:r>
        <w:t>Pages translated : 5</w:t>
      </w:r>
    </w:p>
    <w:p/>
    <w:p>
      <w:r>
        <w:rPr>
          <w:b/>
        </w:rPr>
        <w:t>[Pages 1–3]</w:t>
      </w:r>
    </w:p>
    <w:p>
      <w:r>
        <w:t xml:space="preserve">FRENCH REPUBLIC  </w:t>
        <w:br/>
        <w:t xml:space="preserve">Decision No. 10-DCC-164 of November 18, 2010  </w:t>
        <w:br/>
        <w:t>regarding the exclusive control of IOSIS Holding by EGIS SA</w:t>
      </w:r>
    </w:p>
    <w:p>
      <w:r>
        <w:t xml:space="preserve">The Competition Authority,  </w:t>
        <w:br/>
        <w:t xml:space="preserve">Having regard to the notification file submitted in full to the merger service on October 12, 2010, regarding the exclusive control by Egis SA of Iosis Holding, formalized by an amendment to the shareholders' agreement between Iosis and Egis dated November 9, 2009, signed on October 12, 2010;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Egis SA, a public limited company, is the parent company of the Egis group (hereinafter "the Egis group") which is active in the fields of engineering and consulting in the areas of infrastructure and systems for transport, urban planning, water, and the environment, as well as in project development and road and airport operation. Egis SA is 100% owned by the Caisse des Dépôts et Consignations (hereinafter "CDC").  </w:t>
        <w:br/>
        <w:t xml:space="preserve">2. The CDC is a public institution governed by Articles L. 518-2 and following of the Monetary and Financial Code, which fulfills missions of general interest in support of public policies conducted by the State and local authorities and which engages in activities open to competition. These are grouped around five poles: (i) personal insurance, (ii) real estate, and in particular project management assistance, directly and through Icade, the Société Nationale Immobilière (hereinafter "SNI"), and Socotec, (iii) services, (iv) SME development and private equity, and (v) the environment.  </w:t>
        <w:br/>
        <w:t xml:space="preserve">3. Iosis Holding, a simplified joint-stock company, is the parent company of the Iosis group (hereinafter "the Iosis group"), which is active in the field of engineering and technical studies, particularly in building engineering and nuclear engineering. IOSIS Holding is 100% owned by Iosis, a simplified joint-stock company (hereinafter "Iosis"). The Iosis group consists of 25 subsidiaries owned between 99 and 100% by Iosis Holding, as well as by Iosis Industries, which is 66% owned by Iosis Holding, and its subsidiaries.  </w:t>
        <w:br/>
        <w:t xml:space="preserve">4. By a transfer protocol dated October 9, 2009, Egis SA acquired 34% of the capital of Iosis Holding from the company Iosis, which holds the remainder. On this occasion, a shareholders' agreement was signed between Iosis Holding and Egis SA (hereinafter "the shareholders' agreement"). This agreement grants a put option for the benefit of Iosis, thus allowing it to require Egis SA to acquire, in one or more transactions, all or part of its ownership interests in Iosis Holding. On October 1, 2010, the general meeting of Iosis decided to exercise this option, which the board of directors of Egis SA acknowledged on the same day. An amendment to the shareholders' agreement was therefore signed on October 12, 2010, which sets out the terms for the execution of the operation, should it occur before December 15, 2010. Following the operation, Egis SA will thus hold 100% of the capital and voting rights of Iosis Holding.  </w:t>
        <w:br/>
        <w:t xml:space="preserve">5. Insofar as it results in the exclusive control of the Iosis group by Egis, the notified operation constitutes a concentration operation within the meaning of Article L. 430-1 of the Commercial Code.  </w:t>
        <w:br/>
        <w:t>6. The companies concerned together achieve a total worldwide turnover of more than 150 million euros (CDC: […] billion euros for the fiscal year ending December 31, 2009; Iosis group: 161.46 million euros for the same year). Each achieves, in France, a turnover exceeding 50 million euros (CDC: […] billion euros for the fiscal year ending December 31, 2009; Iosis group: 135 million euros for the same year). Given these turnover figures,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DELIMITATION OF THE RELEVANT SERVICE MARKETS  </w:t>
        <w:br/>
        <w:t xml:space="preserve">7. The parties are simultaneously present in the field of engineering and technical studies, which encompasses all operations of design and assistance in the realization of predominantly industrial equipment. This sector covers numerous areas of activity such as industry, energy, transport, environment, construction, and public services.  </w:t>
        <w:br/>
        <w:t xml:space="preserve">8. The competition authorities, both French and community, have already had the opportunity to rule on concentration operations in the field of engineering services and technical studies, which cover all services provided at each stage of project management encompassing the entire life cycle (R&amp;D, development, engineering and process, execution, operation, and maintenance). However, they have not resolved the question of the existence of potential distinct markets depending on the sectors of activity where the services are performed.  </w:t>
        <w:br/>
        <w:t xml:space="preserve">9. In this case, the areas of activity of the parties mainly overlap in the segment of infrastructure engineering activities through the Egis group, the Iosis group, and a subsidiary of the CDC (Transamo), on the one hand, and in the area of project management assistance through the Egis group, the Iosis group, and three direct or indirect subsidiaries of the CDC (Icade, SNI, and Socotec), on the other hand.  </w:t>
        <w:br/>
        <w:t xml:space="preserve">10. A preliminary segmentation of this sector, consisting of defining a market for infrastructure engineering, that is to say, the development of products and techniques for building, public works, and network development, is highlighted by the parties who distinguish these services from industrial process engineering services. This segmentation has been considered by community practice without it resolving the question. The existence of a second segment, consisting of the market for project management assistance, has also been considered by practice, with the question remaining open. These activities consist of intervening at any stage of a project, from the feasibility study (initial stage of the project) to the acceptance of the work (final stage of the project), and supporting the project owner.  </w:t>
        <w:br/>
        <w:t>11. In this case, the delimitation of service markets can be left open as the conclusion of the competitive analysis remains unchanged regardless of the delimitations retained.</w:t>
      </w:r>
    </w:p>
    <w:p>
      <w:r>
        <w:t xml:space="preserve">B. GEOGRAPHICAL MARKETS  </w:t>
        <w:br/>
        <w:t xml:space="preserve">12. Regarding the market for engineering and technical studies, the Minister of Economy noted in a decision of April 29, 2003, that "from a geographical perspective, it should be noted that in engineering, the market dimension strongly depends on the type of clientele and the scale and complexity of the missions to be accomplished..." In this case, market operators offer a wide range of services, allowing them to operate through national networks in markets of varying sizes. The analysis will therefore be conducted at the national level.  </w:t>
        <w:br/>
        <w:t>13. Regarding the market for infrastructure engineering, the European Commission has considered it to be of European dimension, without, however, determining its exact delimitation.</w:t>
      </w:r>
    </w:p>
    <w:p>
      <w:r>
        <w:rPr>
          <w:b/>
        </w:rPr>
        <w:t>[Pages 4–5]</w:t>
      </w:r>
    </w:p>
    <w:p>
      <w:r>
        <w:t xml:space="preserve">Nevertheless, in this case, the parties are able to operate across the entire national territory and face competition from actors of at least national scale. The analysis will therefore be conducted at the national level.  </w:t>
        <w:br/>
        <w:t xml:space="preserve">14. Finally, the project management assistance market is a market of national dimension, as the main operators intervene through networks of national scope, allowing them to meet demand at any point in the territory.  </w:t>
        <w:br/>
        <w:t xml:space="preserve">III. Competitive Analysis  </w:t>
        <w:br/>
        <w:t xml:space="preserve">A. HORIZONTAL EFFECTS  </w:t>
        <w:br/>
        <w:t xml:space="preserve">15. In the field of engineering and technical studies, the supply is heterogeneous and fragmented: according to Insee statistics, more than 33,000 companies operate in this sector, of which approximately 27,700 have fewer than 10 employees. Among the operators whose engineering constitutes the main activity, there are specialized subsidiaries belonging to large industrial groups as well as engineering firms of varying sizes. In this regard, Insee data shows that, in France, companies with fewer than 250 employees account for two-thirds of the revenue generated in this sector.  </w:t>
        <w:br/>
        <w:t xml:space="preserve">16. In the national market for engineering and technical studies, across all areas of activity, the parties estimated their market shares based on Insee statistics at [0-5]% for the CDC and [0-5]% for the Iosis group, resulting in a share of [0-5]% for the new entity. As indicated, it will also continue to face competition from numerous companies. Given the low market shares of the new entity and the structure of competition, the operation is not likely to harm competition in the engineering and technical studies market.  </w:t>
        <w:br/>
        <w:t xml:space="preserve">17. Regarding the infrastructure engineering segment, where the Egis group, the Iosis group, and Transamo are simultaneously active, the parties estimated their market shares at [5-10]%, [0-5]%, and [0-5]%, respectively, resulting in [5-10]% for the new entity. In this segment, the new entity will also face competition from many significant operators such as SNC Lavallin ([10-20]%), Degremont SAS ([5-10]%), Ginger ([0-5]%), Ingerop ([0-5]%), and Technip ([0-5]%). The operation is therefore not likely to harm competition in the infrastructure engineering market.  </w:t>
        <w:br/>
        <w:t xml:space="preserve">18. Finally, regarding the project management assistance segment, the parties estimate the market share of the CDC at [10-20]% and that of the Iosis group at [0-5]%, totaling [10-20]%. The increment resulting from the operation will therefore be limited. Moreover, in this market, the main competitors of the parties are the leading control offices (such as Bureau Véritas, for example) and the main engineering firms (such as Coteba, for example).  </w:t>
        <w:br/>
        <w:t xml:space="preserve">19. The proposed operation is therefore not likely to harm competition in the relevant markets.  </w:t>
        <w:br/>
        <w:t xml:space="preserve">9 Letter from the Minister of Economy, Industry and Employment C2008-107 dated November 12, 2008, to the councils of the company CDC Capital Investissement regarding a concentration in the technical control sector for construction.  </w:t>
        <w:br/>
        <w:t xml:space="preserve">10 INSEE – EAE, services 2007.  </w:t>
        <w:br/>
        <w:t>4</w:t>
      </w:r>
    </w:p>
    <w:p>
      <w:r>
        <w:t xml:space="preserve">B. VERTICAL EFFECTS  </w:t>
        <w:br/>
        <w:t xml:space="preserve">20. A vertical concentration can restrict competition in upstream markets when the downstream branch of the integrated company refuses to purchase products from upstream operators, thereby reducing their commercial outlets. Such a concentration can also restrict competition in downstream markets when the new entity active upstream refuses to sell its products to actors present downstream.  </w:t>
        <w:br/>
        <w:t xml:space="preserve">21. In this case, certain subsidiaries of the CDC are theoretically likely to call upon the new entity resulting from the operation, particularly in terms of project management assistance. These subsidiaries are active in the sectors of real estate development (Icade, with a market share of less than 10%), vacation village management (Belambra, with a market share of approximately [10-20]%), and the operation of ski resorts and amusement parks (Compagnie des Alpes, whose activities the parties estimate represent [30-40]% of the ski resort operation sector and [10-20]% of the amusement park sector).  </w:t>
        <w:br/>
        <w:t xml:space="preserve">22. Given the market shares of the new entity and the structure of the relevant markets, both upstream and downstream, the parties will not have the capacity or the incentives to implement a locking strategy.  </w:t>
        <w:br/>
        <w:t xml:space="preserve">23. The present operation is therefore not likely to harm competition on this basis.  </w:t>
        <w:br/>
        <w:t xml:space="preserve">C. CONGLOMERATE EFFECTS  </w:t>
        <w:br/>
        <w:t xml:space="preserve">24. Following the operation, the CDC will strengthen its position in the engineering and technical studies market by acquiring, in particular, the engineering activity in the nuclear sector from the Iosis group. However, any risk of harming competition through the implementation of a range effect can be ruled out. Indeed, the market share of the Iosis group remains negligible, and competition remains stimulated by other larger players, such as Setec, Tractebel Engineering, and is driven globally by several major nuclear operators, including EDF, Siemens, Areva, and Westinghouse.  </w:t>
        <w:br/>
        <w:t xml:space="preserve">25. The present operation is therefore not likely to harm competition through the implementation of conglomerate effects.  </w:t>
        <w:br/>
        <w:t xml:space="preserve">DECIDES  </w:t>
        <w:br/>
        <w:t xml:space="preserve">Sole Article: The operation notified under number 10-0139 is authorized.  </w:t>
        <w:br/>
        <w:t xml:space="preserve">The President,  </w:t>
        <w:br/>
        <w:t xml:space="preserve">Bruno Lasserre  </w:t>
        <w:br/>
        <w:t xml:space="preserve">Competition Authority  </w:t>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