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https://www.autoritedelaconcurrence.fr/fr/decision-de-controle-des-concentrations/relative-la-prise-de-controle-exclusif-de-kalidea-par</w:t>
      </w:r>
    </w:p>
    <w:p>
      <w:r>
        <w:t>Pages translated : 7</w:t>
      </w:r>
    </w:p>
    <w:p/>
    <w:p>
      <w:r>
        <w:rPr>
          <w:b/>
        </w:rPr>
        <w:t>[Pages 1–3]</w:t>
      </w:r>
    </w:p>
    <w:p>
      <w:r>
        <w:t xml:space="preserve">FRENCH REPUBLIC  </w:t>
        <w:br/>
        <w:t xml:space="preserve">Decision No. 16-DCC-130 of August 11, 2016  </w:t>
        <w:br/>
        <w:t>regarding the exclusive control of Kalidéa by InterfaCE</w:t>
      </w:r>
    </w:p>
    <w:p>
      <w:r>
        <w:t xml:space="preserve">The Competition Authority,  </w:t>
        <w:br/>
        <w:t xml:space="preserve">Having regard to the notification file sent to the merger service on April 19, 2016, and declared complete on July 15, 2016, concerning the exclusive control of the company Kalidéa by the company InterfaCE formalized by an offer letter dated April 13, 2016, supplemented on April 18, 2016;  </w:t>
        <w:br/>
        <w:t xml:space="preserve">Having regard to Book IV of the Commercial Code relating to the freedom of prices and competition, and in particular its Articles L. 430-1 to L. 430-7;  </w:t>
        <w:br/>
        <w:t xml:space="preserve">Having regard to the additional elements transmitted by the parties during the investigation;  </w:t>
        <w:br/>
        <w:t>Adopts the following decision:</w:t>
      </w:r>
    </w:p>
    <w:p>
      <w:r>
        <w:t xml:space="preserve">I. The companies concerned and the operation  </w:t>
        <w:br/>
        <w:t xml:space="preserve">1. InterfaCE is a subsidiary of the company Groupe Up, formerly Groupe Chèque Déjeuner, which offers products and services with a social purpose, particularly restaurant vouchers co-financed by the employer and the employee, called "Chèque Déjeuner." InterfaCE's activity involves the publishing of software for works councils that allows them to manage their social and cultural policy (integrated accounting software, complete management application, information magazine, etc.). Since 2016, InterfaCE has also offered its clients the provision of an e-commerce platform to order the products and services offered by works councils to their beneficiaries.  </w:t>
        <w:br/>
        <w:t xml:space="preserve">2. Kalidéa is a company that offers works councils a complete range of products and services to facilitate their mission (dedicated software, ticketing platform, etc.). Kalidéa's offer revolves around two main services: (i) a software solution that allows works councils to manage their budgets and animate their activities (social and cultural works, gifts/allocations, and animation actions to improve the performance of motivation programs for marketing, sales, and human resources departments), and (ii) an e-commerce platform that allows their beneficiaries to order cultural, leisure, or everyday life products. In addition, Kalidéa offers works councils other related services (logistics services, management services, and legal or communication services).  </w:t>
        <w:br/>
        <w:t xml:space="preserve">3. The operation, formalized by an offer letter dated April 13, 2016, and a supplementary offer letter dated April 18, 2016, consists of the acquisition by the company InterfaCE of the entire share capital of the company Kalidéa. This operation, which results in the exclusive control of Kalidéa by InterfaCE, constitutes a concentration within the meaning of Article L. 430-1 of the Commercial Code.  </w:t>
        <w:br/>
        <w:t>4. The companies concerned together achieve a total worldwide turnover excluding taxes of more than 150 million euros (Groupe Up: 347 million euros for the fiscal year ending December 31, 2015; Kalidéa: 69 million euros for the fiscal year ending June 30, 2015). Each of these companies has achieved in France a turnover exceeding 50 million euros (Groupe Up: 182 million euros for the fiscal year ending December 31, 2015; Kalidéa: 69 million euros for the fiscal year ending June 30, 2015).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The parties offer works councils various products and services that are directly intended for them (software solutions for management, accounting, and communication) or that these councils then distribute to their beneficiaries (such as gift vouchers, for example), notably through e-commerce platforms managed by the parties.  </w:t>
        <w:br/>
        <w:t>6. Thus, the parties are simultaneously active in the market for the supply of products and services intended for works councils (A) and the markets for the supply of products and services intended for the beneficiaries of works councils (B).</w:t>
      </w:r>
    </w:p>
    <w:p>
      <w:r>
        <w:t xml:space="preserve">A. THE MARKET FOR THE SUPPLY OF PRODUCTS AND SERVICES TO WORKS COUNCILS  </w:t>
        <w:br/>
        <w:t xml:space="preserve">7. The parties consider that there is a market for the provision of a comprehensive service offering to works councils including all the products and services offered by Kalidéa and InterfaCE, as works councils generally call upon a single provider for the supply of these services. The companies that provide these services indeed offer complete packages that include a wide range of products and services intended for works councils.  </w:t>
        <w:br/>
        <w:t xml:space="preserve">8. The parties estimate that the market for the supply of products and services to works councils is national in scope.  </w:t>
        <w:br/>
        <w:t>9. In any event, the exact definition of the market can remain open insofar as, regardless of the segmentation adopted, the conclusions of the competitive analysis remain unchanged.</w:t>
      </w:r>
    </w:p>
    <w:p>
      <w:r>
        <w:t xml:space="preserve">B. MARKETS FOR THE SUPPLY OF PRODUCTS AND SERVICES TO THE BENEFICIARIES OF WORKS COUNCILS  </w:t>
        <w:br/>
        <w:t xml:space="preserve">10. The main categories of products and services offered by the parties to works councils for their beneficiaries are as follows: gift vouchers, ticketing (shows, cinema, museums, etc.), subscriptions to sports clubs or the press, and more marginally, high-tech products and white goods.  </w:t>
        <w:br/>
        <w:t xml:space="preserve">11. Only the market for gift vouchers has already been subject to a decision-making practice by competition authorities1.  </w:t>
        <w:br/>
        <w:t xml:space="preserve">a) Upstream markets  </w:t>
        <w:br/>
        <w:t xml:space="preserve">12. Regarding gift vouchers, decision-making practice2 has identified a market for the supply of gift vouchers where gift voucher issuers offer services for the referencing of a brand on a gift voucher and the retail brands of goods and services that can be offered as gifts through the gift voucher. This market has been considered to be national in scope. Groupe Up is the only party present in this market, in its capacity as a gift voucher issuer.  </w:t>
        <w:br/>
        <w:t xml:space="preserve">13. Except for Groupe Up for gift vouchers, the parties do not design the products and services accessible to employees via their e-commerce platform themselves, but source them from third-party suppliers.  </w:t>
        <w:br/>
        <w:t xml:space="preserve">14. Consequently, the parties believe that there are as many upstream markets for the purchase of products and services as there are families of products (gift vouchers, ticketing, sports subscriptions, press subscriptions, wellness, and white and high-tech products). They further consider that this market is national in scope.  </w:t>
        <w:br/>
        <w:t xml:space="preserve">15. In any event, the exact definition of the market can remain open insofar as, regardless of the segmentation adopted, the conclusions of the competitive analysis remain unchanged.  </w:t>
        <w:br/>
        <w:t xml:space="preserve">b) Downstream markets  </w:t>
        <w:br/>
        <w:t xml:space="preserve">16. According to the parties, there is no need to segment this market according to the types of products and services concerned (mainly, gift vouchers, ticketing, and subscriptions to sports clubs or the press) as all service providers for works councils offer a varied catalog of products and services for beneficiaries.  </w:t>
        <w:br/>
        <w:t xml:space="preserve">17. However, regarding gift vouchers, decision-making practice has considered that they form a distinct market, segmented between on the one hand cards, checks, and gift boxes, and on the other hand, according to the recipient: consumer (BtoC) or intermediary organization, such as companies, local authorities, or works councils (BtoB).  </w:t>
        <w:br/>
        <w:t xml:space="preserve">18. The parties consider that companies specialized in providing services to works councils, such as InterfaCE and Kalidéa, are in competition with  </w:t>
        <w:br/>
        <w:t xml:space="preserve">1 See for example, the Authority's decision No. 15-DCC-58 of May 26, 2015, regarding the exclusive control of ProwebCE by Edenred France SAS.  </w:t>
        <w:br/>
        <w:t>2 Letter from the Minister responsible for the economy dated February 17, 2006, regarding a concentration in the gift voucher sector; decisions of the Authority No. 11-D-08 of April 27, 2011, regarding practices implemented by the company Accentiv’Kadeos and No. 15-DCC-58 of May 26, 2015, regarding the exclusive control of ProwebCE by Edenred France SAS.</w:t>
      </w:r>
    </w:p>
    <w:p>
      <w:r>
        <w:rPr>
          <w:b/>
        </w:rPr>
        <w:t>[Pages 4–6]</w:t>
      </w:r>
    </w:p>
    <w:p>
      <w:r>
        <w:t xml:space="preserve">actors in distribution or producers who offer directly to works councils a range of products and services to employees such as (i) specialized resellers, (ii) large retailers with offers dedicated to businesses and works councils, and (iii) e-commerce sites (Amazon, Ventes Privées) which also have dedicated offers.  </w:t>
        <w:br/>
        <w:t xml:space="preserve">19. They finally consider that the geographical delimitation of the market is national in scope since the distribution networks of the retailers, e-commerce sites, and specialized resellers cover the entire territory.  </w:t>
        <w:br/>
        <w:t xml:space="preserve">20. In any event, the exact definition of the market can remain open insofar as, regardless of the hypothesis adopted, the conclusions of the competitive analysis will remain unchanged.  </w:t>
        <w:br/>
        <w:t xml:space="preserve">III. Competitive Analysis  </w:t>
        <w:br/>
        <w:t xml:space="preserve">A. ANALYSIS OF HORIZONTAL EFFECTS  </w:t>
        <w:br/>
        <w:t xml:space="preserve">1. ON THE MARKET FOR THE SUPPLY OF PRODUCTS AND SERVICES TO WORKS COUNCILS  </w:t>
        <w:br/>
        <w:t xml:space="preserve">21. In the market for offering a comprehensive solution to works councils, the market share of the new entity following the transaction will reach [20-30]% ([20-30]% for Kalidéa and [0-5]% for the Up Group).  </w:t>
        <w:br/>
        <w:t xml:space="preserve">22. The new entity will face competition from operators such as Edenred (ProwebCE), whose market share is [40-50]%, Comitéo ([5-10]%), Officiel CE, and Couleur CE.  </w:t>
        <w:br/>
        <w:t xml:space="preserve">23. Given the low increment of market share generated by the transaction and the presence of several competing operators, including the market leader, the transaction is not likely to raise competition issues through horizontal effects in the market for the supply of products and services to works councils.  </w:t>
        <w:br/>
        <w:t xml:space="preserve">2. ON THE DOWNSTREAM MARKETS FOR THE DISTRIBUTION OF PRODUCTS AND SERVICES TO EMPLOYEES BENEFITING FROM WORKS COUNCILS  </w:t>
        <w:br/>
        <w:t xml:space="preserve">a) Gift Vouchers  </w:t>
        <w:br/>
        <w:t xml:space="preserve">24. Regarding the markets for the distribution of gift vouchers, the activities of the parties overlap exclusively in the market for the distribution of multi-brand gift vouchers to BtoB intermediary organizations on the one hand3, and in the market for the distribution of gift boxes to BtoB intermediary organizations, on the other hand.  </w:t>
        <w:br/>
        <w:t xml:space="preserve">3 The notifying party considers that gift vouchers represent almost all gift vouchers issued in France. Thus, it estimates that the market shares calculated in the gift vouchers market constitute reliable indications of a market segment limited to vouchers and vice versa.  </w:t>
        <w:br/>
        <w:t xml:space="preserve">25. In the markets for the distribution of gift vouchers and multi-brand gift vouchers to BtoB intermediary organizations, the Up Group holds a market share of [30-40]% and Kalidéa [0-5]%.  </w:t>
        <w:br/>
        <w:t xml:space="preserve">26. In these markets, the new entity will face competition from Edenred (approximately [30-40]% market share), Sodexo (20-30% market share), and Titres Cadeaux (5-10% market share).  </w:t>
        <w:br/>
        <w:t xml:space="preserve">27. In the market for the distribution of gift boxes to BtoB intermediary organizations, the market share of the new entity will not exceed [0-5]% ([0-5]% for Kalidéa and [0-5]% for the Up Group). The new entity will face competition from the main operators in the market (Smartbox and Wonderbox).  </w:t>
        <w:br/>
        <w:t xml:space="preserve">28. Given the low increment of market share caused by the transaction and the presence of several significant competing operators, the transaction is not likely to raise competition issues through horizontal effects in the gift vouchers markets in France.  </w:t>
        <w:br/>
        <w:t xml:space="preserve">b) Other Products and Services  </w:t>
        <w:br/>
        <w:t xml:space="preserve">29. In the overall market for the distribution of products and services intended for works councils, the market share of the new entity will be 5-10%, with an increment of less than [0-5] points (Up Group), taking into account the competition from (i) specialized resellers, (ii) large retailers with offers dedicated to businesses and works councils, and (iii) e-commerce sites (Amazon, Ventes Privées) which also have dedicated offers.  </w:t>
        <w:br/>
        <w:t xml:space="preserve">30. In a segment where only entities specialized in providing services to works councils, such as the parties, would be active, the market share of the new entity will be [30-40]% ([20-30]% for Kalidéa and [0-5]% for InterfaCE).  </w:t>
        <w:br/>
        <w:t xml:space="preserve">31. In this segment, however, the new entity will still face competition from numerous operators such as ProwebCE (approximately [40-50]%*), Couleur CE (&lt; [5-10]%), Comitéo (&lt; [5-10%]*) and Officiel CE (&lt; [5-10]%).  </w:t>
        <w:br/>
        <w:t xml:space="preserve">32. Given the limited position of the parties in the overall market, on the one hand, the low increment of market share resulting from the transaction, and the presence of many competitors in the most restricted segment, on the other hand, the transaction is not likely to produce horizontal effects in the market for the supply of products and services to employees benefiting from works councils in France.  </w:t>
        <w:br/>
        <w:t xml:space="preserve">* Correction of material error.  </w:t>
        <w:br/>
        <w:t xml:space="preserve">B. ANALYSIS OF VERTICAL EFFECTS  </w:t>
        <w:br/>
        <w:t xml:space="preserve">33. A vertical concentration can restrict competition by making it more difficult for competitors to access the markets in which the new entity will be active, or even potentially excluding competitors or penalizing them by increasing their costs. This is referred to as "locking" or "foreclosure" of markets. Such a situation increases the market power of the new entity and allows it to raise its prices or reduce the quantities offered. Two types of lock-ins are distinguished. In the first case, the integrated company refuses to sell an input to its downstream competitors or supplies this input at a high price, under unfavorable conditions, or at a degraded quality level ("input lock-in"). This foreclosure can be total, when competitors are no longer supplied at all, or partial, when the tightening of pricing conditions leads to an increase in competitors' costs. In the second case, the downstream branch of the integrated company refuses to purchase or distribute the products of upstream manufacturers and thus reduces their commercial outlets ("customer access lock-in"). The decision-making practice of competition authorities generally rules out these lock-in risks when the market share of the entity resulting from the transaction in the relevant markets does not exceed 30%.  </w:t>
        <w:br/>
        <w:t xml:space="preserve">34. The Up Group issues multi-brand BtoB gift vouchers "Cadhoc" which it markets directly to works councils that distribute them to their beneficiaries, but also to distributors like Kalidéa who take care of marketing them themselves to works councils. The transaction is therefore likely to lead to vertical integration between the issuer of the gift vouchers and one of its distributors.  </w:t>
        <w:br/>
        <w:t xml:space="preserve">35. In the markets for the issuance of gift vouchers (and gift checks), the market share of the Up Group is approximately [30-40]%.  </w:t>
        <w:br/>
        <w:t xml:space="preserve">36. However, the transaction is not likely to create a risk of locking access to the market to the detriment of the competing issuers of gift vouchers/gift checks of the Up Group or the competing distributors of gift vouchers/gift checks of Kalidéa.  </w:t>
        <w:br/>
        <w:t xml:space="preserve">37. Indeed, even if, following the transaction, Kalidéa decided to source exclusively from the Up Group for all its needs in gift vouchers/gift checks, its competing issuers would have significant alternative outlets, given Kalidéa's limited position in the market for the distribution of multi-brand gift vouchers to BtoB organizations (less than 10%). Furthermore, issuers of gift vouchers/gift checks retain the possibility of distributing their gift vouchers/gift checks directly to works councils and other entities.  </w:t>
        <w:br/>
        <w:t xml:space="preserve">38. Moreover, if following the transaction, the Up Group decided to supply its gift vouchers/gift checks exclusively to Kalidéa, the competitors of the latter would have the option to source from competing operators of the Up Group such as Edenred ("Kadéos", Accor Group) which holds approximately [30-40]% market share, Sodexo ("TirGroupé") which holds between 20-30% market share, and Titres Cadeaux (Natixis Group - La Banque Postale) which has a market share of 5-10% in the market for the issuance of gift vouchers/gift checks.  </w:t>
        <w:br/>
        <w:t>39. Therefore, the transaction is not likely to raise competition issues through vertical effects in the various markets for gift vouchers.</w:t>
      </w:r>
    </w:p>
    <w:p>
      <w:r>
        <w:rPr>
          <w:b/>
        </w:rPr>
        <w:t>[Pages 7–7]</w:t>
      </w:r>
    </w:p>
    <w:p>
      <w:r>
        <w:t xml:space="preserve">DECIDES  </w:t>
        <w:br/>
        <w:t xml:space="preserve">Sole Article: The operation notified under number 16-064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