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https://www.autoritedelaconcurrence.fr/fr/decision-de-controle-des-concentrations/relative-la-prise-de-controle-exclusif-de-kerisper-sas-par</w:t>
      </w:r>
    </w:p>
    <w:p>
      <w:r>
        <w:t>Pages translated : 5</w:t>
      </w:r>
    </w:p>
    <w:p/>
    <w:p>
      <w:r>
        <w:rPr>
          <w:b/>
        </w:rPr>
        <w:t>[Pages 1–3]</w:t>
      </w:r>
    </w:p>
    <w:p>
      <w:r>
        <w:t xml:space="preserve">FRENCH REPUBLIC  </w:t>
        <w:br/>
        <w:t xml:space="preserve">Decision No. 14-DCC-104 of July 7, 2014  </w:t>
        <w:br/>
        <w:t xml:space="preserve">regarding the exclusive control of Kerisper SAS by  </w:t>
        <w:br/>
        <w:t xml:space="preserve">Symrise AG  </w:t>
        <w:br/>
        <w:t xml:space="preserve">The Competition Authority,  </w:t>
        <w:br/>
        <w:t xml:space="preserve">Having regard to the notification file submitted in full to the merger service on June 2, 2014,  </w:t>
        <w:br/>
        <w:t xml:space="preserve">regarding the acquisition of exclusive control of Kerisper SAS by Symrise AG, formalized by  </w:t>
        <w:br/>
        <w:t xml:space="preserve">an offer dated April 12, 2014, and by an acquisition protocol dated May 23, 2014;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Symrise AG, the parent company of the Symrise group, is a supplier of natural and  </w:t>
        <w:br/>
        <w:t xml:space="preserve">chemical flavors, fragrances, cosmetic active ingredients, functional ingredients, and raw  </w:t>
        <w:br/>
        <w:t xml:space="preserve">materials for the production of fragrances, care products, and cosmetics as well as food and  </w:t>
        <w:br/>
        <w:t xml:space="preserve">cleaning products. […] % of Symrise's capital is floating and there is no shareholder agreement.  </w:t>
        <w:br/>
        <w:t xml:space="preserve">Furthermore, Symrise's capital consists of ordinary shares, which are not accompanied by any  </w:t>
        <w:br/>
        <w:t xml:space="preserve">particular veto rights.  </w:t>
        <w:br/>
        <w:t xml:space="preserve">2. Kerisper SAS is the holding company of the Diana group, active in the supply of dietary  </w:t>
        <w:br/>
        <w:t xml:space="preserve">supplements for animals. Diana also produces flavors and colorants for the food and beverage  </w:t>
        <w:br/>
        <w:t xml:space="preserve">industry and, to a very marginal extent, dietary supplements intended for aquaculture.  </w:t>
        <w:br/>
        <w:t xml:space="preserve">3. Under the acquisition protocol dated May 23, 2014, the operation consists of  </w:t>
        <w:br/>
        <w:t xml:space="preserve">the acquisition of all the shares of Kerisper SAS and its subsidiaries by Symrise AG.  </w:t>
        <w:br/>
        <w:t xml:space="preserve">4. Insofar as it results in the exclusive control of Kerisper SAS by Symrise AG,  </w:t>
        <w:br/>
        <w:t xml:space="preserve">the notified operation constitutes a concentration within the meaning of Article L. 430-1 of the  </w:t>
        <w:br/>
        <w:t>Commercial Code.</w:t>
      </w:r>
    </w:p>
    <w:p>
      <w:r>
        <w:t xml:space="preserve">5. The companies concerned together achieve a worldwide turnover excluding tax of more than  </w:t>
        <w:br/>
        <w:t xml:space="preserve">150 million euros (Symrise AG: [Confidential] billion euros for the fiscal year ending December 31, 2013; Kerisper SAS: [Confidential] million euros for the same fiscal year ending). Each of the companies concerned achieves a turnover in France exceeding 50 million euros (Symrise AG: [Confidential] million euros for the fiscal year ending December 31, 2013; Kerisper SAS: [Confidential] million euros for the same fiscal year). Given the turnovers of the companies concerned,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6. The parties to the operation are simultaneously active in the field of food ingredient production. They are particularly both active in the markets for flavors and colorants intended for the food and beverage industry.  </w:t>
        <w:br/>
        <w:t xml:space="preserve">A. THE MARKETS FOR PRODUCTS AND SERVICES  </w:t>
        <w:br/>
        <w:t xml:space="preserve">1. THE FLAVORS MARKET  </w:t>
        <w:br/>
        <w:t xml:space="preserve">7. The European Commission has defined a market for flavors used for a wide range of  </w:t>
        <w:br/>
        <w:t xml:space="preserve">tastes and fragrances1. It has estimated that segmentation by flavor is not relevant,  </w:t>
        <w:br/>
        <w:t xml:space="preserve">given the significant degree of substitutability on the supply side.  </w:t>
        <w:br/>
        <w:t xml:space="preserve">8. In this case, the Diana group exclusively produces natural origin flavors and Symrise  </w:t>
        <w:br/>
        <w:t xml:space="preserve">produces both natural and synthetic flavors. The notifying party also indicates  </w:t>
        <w:br/>
        <w:t xml:space="preserve">that Symrise supplies flavors used by food producers to enhance taste while the Diana group provides the ingredients necessary for the production of these flavors. The notifying party considers that these products are used for different purposes by their customers and are therefore not substitutable.  </w:t>
        <w:br/>
        <w:t xml:space="preserve">9. The notifying party has provided an estimated market share for a potential segment of  </w:t>
        <w:br/>
        <w:t xml:space="preserve">natural origin flavors as well as for a global market of natural and synthetic flavors. However, the question of the exact delimitation of the flavors market can be left open as the conclusions of the competitive analysis remain unchanged regardless of the delimitation retained.  </w:t>
        <w:br/>
        <w:t>1 See the European Commission decisions COMP/M.4507 – Guivaudan/Quest International of February 12, 2007 and COMP/M.2926 – EQT/H&amp;R/Dragoco of September 16, 2002.</w:t>
      </w:r>
    </w:p>
    <w:p>
      <w:r>
        <w:t xml:space="preserve">2. THE COLORANTS MARKET  </w:t>
        <w:br/>
        <w:t xml:space="preserve">10. The European Commission has considered the existence of a colorants market for  </w:t>
        <w:br/>
        <w:t xml:space="preserve">food production without considering finer segmentations2.  </w:t>
        <w:br/>
        <w:t xml:space="preserve">11. The question of the exact delimitation of the markets can nevertheless be left open in  </w:t>
        <w:br/>
        <w:t xml:space="preserve">this case, as the conclusions of the competitive analysis would remain unchanged regardless of the segmentations considered.  </w:t>
        <w:br/>
        <w:t xml:space="preserve">B. THE GEOGRAPHIC MARKETS  </w:t>
        <w:br/>
        <w:t xml:space="preserve">1. THE FLAVORS MARKET  </w:t>
        <w:br/>
        <w:t xml:space="preserve">12. Decision-making practice consistently considers that the flavors market is at least European in scope, if not global3.  </w:t>
        <w:br/>
        <w:t xml:space="preserve">13. The notifying party confirms that production criteria are homogeneous on an international scale, that transport costs are low, and that there is no significant price difference. It has nevertheless provided market share estimates at both the European and global levels.  </w:t>
        <w:br/>
        <w:t xml:space="preserve">14. The question of the geographic dimension of the flavors market will, however, be left open in that, regardless of the delimitation retained, the conclusions of the analysis will remain unchanged.  </w:t>
        <w:br/>
        <w:t xml:space="preserve">2. THE COLORANTS MARKET  </w:t>
        <w:br/>
        <w:t xml:space="preserve">15. The European Commission has considered a geographic dimension of the food colorants market to be at least European4.  </w:t>
        <w:br/>
        <w:t xml:space="preserve">16. The notifying party has provided a market share estimate at both the European and global levels. The exact delimitation of the markets can be left open in this case, as the conclusions of the competitive analysis will remain unchanged regardless of the solutions retained.  </w:t>
        <w:br/>
        <w:t xml:space="preserve">2 See the European Commission decision No. COMP/M.3845 – P1A / Chr. Hansen of July 18, 2005.  </w:t>
        <w:br/>
        <w:t xml:space="preserve">3 See the aforementioned decisions.  </w:t>
        <w:br/>
        <w:t>4 See the decision COMP/M.3845 – PAI / Chr. Hansen mentioned above.</w:t>
      </w:r>
    </w:p>
    <w:p>
      <w:r>
        <w:rPr>
          <w:b/>
        </w:rPr>
        <w:t>[Pages 4–5]</w:t>
      </w:r>
    </w:p>
    <w:p>
      <w:r>
        <w:t>III. Competitive Analysis</w:t>
        <w:br/>
        <w:t>1. ANALYSIS OF HORIZONTAL EFFECTS</w:t>
        <w:br/>
        <w:t>17. In the global market for flavors (of natural and artificial origin) intended for the food and beverage industry, the notifying party estimated Diana group's market share at [0-5]% ([0-5]% at the European level) and Symrise's at [5-10]% ([10-20]% at the European level), resulting in a combined market share of [5-10]% ([10-20]% at the European level). In the segment of natural origin flavors intended for the food and beverage industry alone, the notifying party estimated Diana group's market share at [0-5]% and Symrise's at [0-5]% at the global level, resulting in a combined market share of [0-5]% ([0-5]% at the European level).</w:t>
        <w:br/>
        <w:t>18. The notifying party also indicated that the main competitors of the new entity in the global flavors market are Guivaudan (with a market share estimated at [10-20]%), Firmenich ([10-20]%), IFF ([10-20%]) as well as Chr. Hansen, Kerry, Naturex, Sensient, and Kemin.</w:t>
        <w:br/>
        <w:t>19. Regarding the dyes market, the notifying party indicated that Symrise's market share is negligible both globally and in Europe. It estimated Diana group's market share at [0-5]% at the global level and [5-10]% at the European level. The notifying party also indicated that the main competitors of the new entity at the global level are Chr. Hansen (with a market share estimated at [20-30]%), Sensient ([10-20]%), GNT ([10-20]%), and Naturex ([5-10]%).</w:t>
        <w:br/>
        <w:t>20. Given these elements, the operation is not likely to harm competition through horizontal effects in the flavors and dyes markets.</w:t>
      </w:r>
    </w:p>
    <w:p>
      <w:r>
        <w:t>2. ANALYSIS OF VERTICAL EFFECTS</w:t>
        <w:br/>
        <w:t>21. A vertical concentration can restrict competition by making access to the markets where the new entity will be active more difficult,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The decision-making practice of competition authorities generally considers that the risks of lock-in are unlikely when the share of the company resulting from the operation in the relevant markets does not exceed 30%.</w:t>
        <w:br/>
        <w:t>22. In this case, the parties' activities are vertically related, as Symrise sources flavor extracts from operators such as Diana group. However, the latter remains a minor player in the market and represents [0-5]% of the global flavors market and [0-5]% of the natural origin flavors segment for food and beverages.</w:t>
        <w:br/>
        <w:t>23. Diana group's customers therefore have a wide choice of alternative suppliers and are also significant manufacturers of food products such as [Confidential], which exert strong market power during commercial negotiations. Consequently, the operation is not likely to restrict the supply to the customers of the new entity.</w:t>
      </w:r>
    </w:p>
    <w:p>
      <w:r>
        <w:t>24. Given these elements, the operation is not likely to harm competition through vertical effects between the upstream markets for flavors and dyes and the latter.</w:t>
      </w:r>
    </w:p>
    <w:p>
      <w:r>
        <w:t>DECIDES</w:t>
        <w:br/>
        <w:t>Sole Article: The operation notified under number 14-078 is authorized.</w:t>
        <w:br/>
        <w:t>The Vice-President,</w:t>
        <w:br/>
        <w:t>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