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https://www.autoritedelaconcurrence.fr/fr/decision-de-controle-des-concentrations/relative-la-prise-de-controle-exclusif-de-la-banque-postale</w:t>
      </w:r>
    </w:p>
    <w:p>
      <w:r>
        <w:t>Pages translated : 6</w:t>
      </w:r>
    </w:p>
    <w:p/>
    <w:p>
      <w:r>
        <w:rPr>
          <w:b/>
        </w:rPr>
        <w:t>[Pages 1–3]</w:t>
      </w:r>
    </w:p>
    <w:p>
      <w:r>
        <w:t xml:space="preserve">FRENCH REPUBLIC  </w:t>
        <w:br/>
        <w:t xml:space="preserve">Decision No. 16-DCC-87 of June 20, 2016  </w:t>
        <w:br/>
        <w:t>regarding the exclusive control of La Banque Postale Prévoyance by La Banque Postale</w:t>
      </w:r>
    </w:p>
    <w:p>
      <w:r>
        <w:t xml:space="preserve">The Competition Authority,  </w:t>
        <w:br/>
        <w:t xml:space="preserve">Having regard to the notification file submitted in full to the merger service on May 13, 2016, regarding the exclusive control of La Banque Postale Prévoyance by La Banque Postale, formalized by a share transfer agreement dated March 25,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La Banque Postale group (hereinafter, "LBP") is a banking group, a subsidiary of the La Poste group, active in the sectors of retail banking, asset management, and insurance. LBP is 100% owned by La Poste SA, which is jointly owned by the French State (73.68%) and the Caisse des dépôts et consignations (hereinafter, "CDC") (26.32%).  </w:t>
        <w:br/>
        <w:t xml:space="preserve">2. La Banque Postale Prévoyance (hereinafter "LBPP") is an insurance company jointly owned by CNP Assurances and SF2, a 100% subsidiary of LBP. CNP Assurances and SF2 each hold 50% of the capital and voting rights of LBPP.  </w:t>
        <w:br/>
        <w:t xml:space="preserve">3. The operation consists of the acquisition of the capital and voting rights of the company LBPP held by CNP Assurances by LBP. As it results in the exclusive control of LBPP by the LBP group, the operation constitutes a concentration within the meaning of Article L. 430-1 of the Commercial Code.  </w:t>
        <w:br/>
        <w:t>4. The concerned companies together achieve a total worldwide turnover excluding taxes of more than 150 million euros (LBP: [...] euros for the fiscal year ending December 31, 2014; LBPP: [...] euros for the same fiscal year). Each of these companies has achieved a turnover in France exceeding 50 million euros (LBP: [...] euros for the fiscal year ending December 31, 2014; LBPP: [...] euros for the same fiscal year). The notification thresholds of Article 1, paragraph 2 of Regulation (EC) 139/2004 are exceeded, but since each of the concerned companies achieves more than two-thirds of its turnover within the Union in France, the operation does not fall under the competence of the European Union (European turnover of LBP: [...] euros; LBPP: [...] euros).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5. The parties are both active in the insurance sector. LBPP is present in the upstream markets of reinsurance and offers individual provident insurance products and collective borrower insurance. LBP is active in the distribution of insurance products on behalf of third parties.</w:t>
      </w:r>
    </w:p>
    <w:p>
      <w:r>
        <w:t xml:space="preserve">A. THE REINSURANCE MARKET  </w:t>
        <w:br/>
        <w:t xml:space="preserve">1. THE PRODUCT MARKET  </w:t>
        <w:br/>
        <w:t xml:space="preserve">6. Previous decision-making practice consistently distinguishes insurance activities from reinsurance activities.  </w:t>
        <w:br/>
        <w:t xml:space="preserve">7. Reinsurance is a particular form of insurance whereby the reinsurer assumes all or part of the risks insured by the primary insurer. This mechanism allows primary insurers to increase the number of insured and to spread risks over time across a broader geographical area. In this respect, decision-making practice considers that reinsurance constitutes a distinct market due to the specificity of its object (the distribution of risks among insurers) and the less stringent regulatory constraints on this activity.  </w:t>
        <w:br/>
        <w:t>8. Decision-making practice has questioned a possible segmentation of the market between life reinsurance and non-life reinsurance, and even, within each of these segments, a sub-segmentation based on the different categories of risks covered.</w:t>
      </w:r>
    </w:p>
    <w:p>
      <w:r>
        <w:t>9. In the present case, it is not necessary to rule on these market delineations, as the conclusions of the competitive analysis remain unchanged regardless of the segmentations considered. In this instance, only LBPP is active in the reinsurance market.</w:t>
      </w:r>
    </w:p>
    <w:p>
      <w:r>
        <w:t xml:space="preserve">2. THE GEOGRAPHIC MARKET  </w:t>
        <w:br/>
        <w:t>10. Decision-making practice considers that the reinsurance market is global in scope, particularly given the distribution of risks at this level.</w:t>
      </w:r>
    </w:p>
    <w:p>
      <w:r>
        <w:t xml:space="preserve">B. THE INSURANCE MARKET  </w:t>
        <w:br/>
        <w:t xml:space="preserve">1. THE PRODUCT MARKET  </w:t>
        <w:br/>
        <w:t xml:space="preserve">11. Decision-making practice distinguishes between personal insurance and property and liability insurance, each of which can in turn be sub-segmented into as many markets as there are insurances covering different types of risks. In fact, within personal insurance, decision-making practice has notably distinguished a funeral insurance market and a provident insurance market.  </w:t>
        <w:br/>
        <w:t xml:space="preserve">12. Furthermore, decision-making practice has distinguished borrower insurance, which is insurance taken out by an individual in connection with a mortgage or consumer credit. This form of temporary insurance guarantees the repayment of the credit in the event of the occurrence of risks related to human life. Similarly, previous decision-making practice has questioned the existence of a distinct market for dependency insurance that covers individuals against the risk of loss of autonomy, providing for the payment of an annuity or capital if the risk materializes.  </w:t>
        <w:br/>
        <w:t>13. Finally, additional segmentations have been considered within personal insurances between collective insurance contracts and individual insurance contracts and, within property and liability insurances, between insurances aimed at individuals and insurances aimed at professionals.</w:t>
      </w:r>
    </w:p>
    <w:p>
      <w:r>
        <w:rPr>
          <w:b/>
        </w:rPr>
        <w:t>[Pages 4–6]</w:t>
      </w:r>
    </w:p>
    <w:p>
      <w:r>
        <w:t>14. The question of the exact delineation of the markets for the distribution of insurance products on behalf of third parties can, however, be left open insofar as regardless of the delineation adopted, the conclusions of the competitive analysis remain unchanged. In this case, only LBPP is active in the individual provident insurance market as well as in the collective borrower insurance market.</w:t>
      </w:r>
    </w:p>
    <w:p>
      <w:r>
        <w:t>2. THE GEOGRAPHIC MARKET</w:t>
      </w:r>
    </w:p>
    <w:p>
      <w:r>
        <w:t>15. Regarding the geographic delineation of insurance markets, decision-making practice considers that, with the exception of certain insurances covering large-scale risks, these markets are national in scope, particularly considering consumer preferences, the existence of national tax regulations, the current structure of these markets, or the regulatory systems concerning this sector of activity.</w:t>
      </w:r>
    </w:p>
    <w:p>
      <w:r>
        <w:t>C. THE MARKET FOR THE DISTRIBUTION OF INSURANCE PRODUCTS ON BEHALF OF THIRD PARTIES</w:t>
      </w:r>
    </w:p>
    <w:p>
      <w:r>
        <w:t>1. THE PRODUCT MARKET</w:t>
      </w:r>
    </w:p>
    <w:p>
      <w:r>
        <w:t>16. The distribution of insurance products consists of marketing and managing the administrative aspects of the guarantees or insurance contracts whose risk is borne by third-party insurers. Decision-making practice has considered the existence of a broad market for the distribution of insurance products by independent intermediaries, encompassing all distribution channels: agents, brokers, and other intermediaries (including banks), with the exception, however, of direct distribution by insurance companies. Decision-making practice has also considered a narrower market for insurance brokerage, encompassing only this distribution channel.</w:t>
      </w:r>
    </w:p>
    <w:p>
      <w:r>
        <w:t>17. The distribution markets can also be segmented based on the category of insured risks (property insurance and personal insurance) and according to the clientele (businesses or individuals).</w:t>
      </w:r>
    </w:p>
    <w:p>
      <w:r>
        <w:t>18. The question of the exact delineation of the markets for the distribution of insurance products on behalf of third parties can, however, be left open insofar as regardless of the delineation adopted, the conclusions of the competitive analysis remain unchanged. In this case, only LBP is present in the market for the distribution of insurance products on behalf of third parties.</w:t>
      </w:r>
    </w:p>
    <w:p>
      <w:r>
        <w:t>19. Decision-making practice considers that the markets for the distribution of insurance products are, for the most part, national in scope.</w:t>
      </w:r>
    </w:p>
    <w:p>
      <w:r>
        <w:t>III. Competitive Analysis</w:t>
      </w:r>
    </w:p>
    <w:p>
      <w:r>
        <w:t>20. The proposed operation does not result in any overlap of activities between the parties. However, due to the presence of the parties in the upstream and downstream insurance markets, the operation is likely to have vertical effects on the relevant markets.</w:t>
      </w:r>
    </w:p>
    <w:p>
      <w:r>
        <w:t>21. A vertical concentration can restrict competition by making access to the markets where the new entity will be active more difficult, or even by excluding competitors or penalizing them through an increase in their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 The Authority considers that it is unlikely that a company with a market share of less than 30% in a given market can lock in a downstream or upstream market.</w:t>
      </w:r>
    </w:p>
    <w:p>
      <w:r>
        <w:t>22. Following the proposed operation, the new entity will hold, in the markets for the distribution of insurance products, a market share of less than 20% regardless of the market segment considered. Similarly, in the insurance markets, the new entity will have a market share of less than 15%. Furthermore, the parties will remain subject to competition from numerous operators with similar or higher market shares.</w:t>
      </w:r>
    </w:p>
    <w:p>
      <w:r>
        <w:t>23. Consequently, the operation is not likely to harm competition through vertical effects.</w:t>
      </w:r>
    </w:p>
    <w:p>
      <w:r>
        <w:t>DECIDES</w:t>
      </w:r>
    </w:p>
    <w:p>
      <w:r>
        <w:t>Sole Article: The operation notified under number 16-072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