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https://www.autoritedelaconcurrence.fr/fr/decision-de-controle-des-concentrations/relative-la-prise-de-controle-exclusif-de-la-banque-societe</w:t>
      </w:r>
    </w:p>
    <w:p>
      <w:r>
        <w:t>Pages translated : 11</w:t>
      </w:r>
    </w:p>
    <w:p/>
    <w:p>
      <w:r>
        <w:rPr>
          <w:b/>
        </w:rPr>
        <w:t>[Pages 1–3]</w:t>
      </w:r>
    </w:p>
    <w:p>
      <w:r>
        <w:t xml:space="preserve">FRENCH REPUBLIC  </w:t>
        <w:br/>
        <w:t xml:space="preserve">Decision No. 10-DCC-116 of September 10, 2010  </w:t>
        <w:br/>
        <w:t xml:space="preserve">regarding the exclusive control of the bank Société Marseillaise de Crédit by the Société Générale-Crédit du Nord group  </w:t>
        <w:br/>
        <w:t xml:space="preserve">The Competition Authority,  </w:t>
        <w:br/>
        <w:t xml:space="preserve">Having regard to the notification file sent to the merger service on July 23, 2010, declared complete on August 6, 2010, concerning the exclusive control of the bank Société Marseillaise de Crédit by the bank Crédit du Nord, a subsidiary of the Société Générale banking group, formalized by the signing, on June 13, 2010, of a draft share transfer agreement;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 xml:space="preserve">Adopts the following decision:  </w:t>
        <w:br/>
        <w:t xml:space="preserve">I. The companies concerned and the transaction  </w:t>
        <w:br/>
        <w:t xml:space="preserve">1. The Crédit du Nord group, consisting of a network of seven banks (Courtois, Kolb, Laydernier, Nuger, Rhône-Alpes, Tarneaud, and Crédit du Nord), is a 100% subsidiary of Société Générale, the parent company of the Société Générale group. The latter is a European financial services group, active in 83 countries (particularly in Russia, the Czech Republic, Romania, Egypt, Morocco, and the United States) and whose activities are organized into five poles: France Networks, which includes the Crédit du Nord group, with more than 3,000 bank branches in France, ensuring retail network activities; International Networks; specialized financing and insurance; private banking, asset management, and investor services; financing and investment banking.  </w:t>
        <w:br/>
        <w:t>2. The entire Société Générale group achieved, in 2009, a net banking income of 21.7 billion euros and a turnover of […] million euros, of which [&gt;50] was exclusively generated in France.</w:t>
      </w:r>
    </w:p>
    <w:p>
      <w:r>
        <w:t xml:space="preserve">3. The Société Marseillaise de Crédit (hereinafter "SMC") is a regional bank founded in 1865 that has a network of 144 branches located exclusively in the southeast of France (in Provence-Alpes-Côte d'Azur, in Languedoc-Roussillon, and, to a lesser extent, in Rhône-Alpes as well as in Midi-Pyrénées) and in Monaco. SMC is active in the retail banking and commercial banking sectors. It also distributes insurance products through its network of branches. Prior to the transaction, its capital is entirely held by the Banque Populaire-Caisse d'Epargne group. In 2009, SMC achieved a net banking income of 193.5 million euros and a turnover of […] million euros, of which [&gt;50] million was exclusively generated in France.  </w:t>
        <w:br/>
        <w:t xml:space="preserve">4. The transaction, formalized by a draft share transfer agreement signed by the parties on June 13, 2010, concerns the acquisition, by the public limited company Crédit du Nord, a subsidiary of the Société Générale group, of the entire capital of SMC.  </w:t>
        <w:br/>
        <w:t xml:space="preserve">5. Insofar as it results in the acquisition of exclusive control of SMC by the Société Générale-Crédit du Nord group, the notified transaction is a concentration operation within the meaning of Article L. 430-1 of the Commercial Code. Given the turnover of the companies concerned, it is not of community dimension. However, the notification thresholds provided for in Article L. 430-2-I of the Commercial Code are exceeded. The present transaction is therefore subject to the provisions of Articles L. 430-3 and following of the Commercial Code relating to economic concentration.  </w:t>
        <w:br/>
        <w:t xml:space="preserve">II. Definition of the relevant markets  </w:t>
        <w:br/>
        <w:t xml:space="preserve">6. The parties to the concentration are simultaneously active in the banking and insurance sectors, which have already been analyzed several times by the community1 and national competition authorities2.  </w:t>
        <w:br/>
        <w:t xml:space="preserve">A. THE BANKING SECTOR  </w:t>
        <w:br/>
        <w:t xml:space="preserve">1. SERVICE MARKETS  </w:t>
        <w:br/>
        <w:t xml:space="preserve">7. Community and national decision-making practice traditionally distinguishes three categories of services:  </w:t>
        <w:br/>
        <w:t xml:space="preserve">- banking services intended for individuals and households (retail banking);  </w:t>
        <w:br/>
        <w:t xml:space="preserve">- banking services intended for businesses (commercial banking);  </w:t>
        <w:br/>
        <w:t xml:space="preserve">- operations on financial markets (financing and investment banking).  </w:t>
        <w:br/>
        <w:t xml:space="preserve">1 See for example the decisions of the European Commission COMP/M.4844 - Fortis / ABN AMRO ASSETS of October 3, 2007, as well as COMP/M.2567 - NORDBANKEN / POSTGIROT of November 8, 2001  </w:t>
        <w:br/>
        <w:t xml:space="preserve">2 Letter from the Minister of Economy, Finance and Industry No. C2006-45 dated August 10, 2006, to the councils of the Caisse Nationale des Caisses d’Épargne and the Banque Fédérale des Banques Populaires; Letter from the Minister of Economy, Finance and Employment No. C2008-26 dated May 23, 2008, to the councils of Banque Fédérale des Banques Populaires SA; Decision of the Competition Authority No. 09-DCC-16 of June 22, 2009, regarding the merger between the Caisse d’Epargne and Banque Populaire groups;  </w:t>
        <w:br/>
        <w:t xml:space="preserve">8. In this case, the parties are simultaneously active only in the retail banking and commercial banking sectors.  </w:t>
        <w:br/>
        <w:t xml:space="preserve">a) Retail banking markets  </w:t>
        <w:br/>
        <w:t xml:space="preserve">9. It follows from previous decision-making practice that retail banking encompasses banking services aimed at individuals and households. Furthermore, entrepreneurs have been considered as clients of retail banking, as their needs are closer to those of individuals than to those of commercial companies.  </w:t>
        <w:br/>
        <w:t xml:space="preserve">10. For this entire clientele, the following markets have been analyzed: the demand deposit market, the bank savings market (notably savings bonds and accounts that cannot be immediately mobilized such as term accounts), the off-balance sheet savings market (Société d’Investissement à Capital Variable (hereinafter "SICAV"), Fonds Commun de Placement (hereinafter "FCP") and pension funds), the real estate credit market, the consumer credit market, the debt restructuring credit market, the payment card issuance market (issuance for the benefit of clients), the private banking market, or the securities custody market ("retail custody"). In this case, there is no need to challenge this delimitation.  </w:t>
        <w:br/>
        <w:t xml:space="preserve">11. In this case, the parties are simultaneously present in each of these markets, except for the private banking market, as SMC does not have any entity dedicated to this activity.  </w:t>
        <w:br/>
        <w:t xml:space="preserve">b) Commercial banking markets  </w:t>
        <w:br/>
        <w:t xml:space="preserve">12. Commercial banking encompasses banking services aimed at businesses. In previous decisions, the European Commission3 and the Competition Authority4 have questioned, while leaving the issue open, a possible segmentation of commercial banking markets based on the size of client companies (SMEs or large companies). Similarly, the Competition Authority had considered a possible segmentation according to sectors of activity, notably distinguishing a market for credit to farmers. In the absence of any difficulty in the competitive analysis, these questions regarding the precise delimitation of the markets can be left open.  </w:t>
        <w:br/>
        <w:t xml:space="preserve">13. Regarding segmentation by types of service, the Competition Authority5 distinguished the following fifteen markets: the demand deposit market, the corporate savings market, the investment credit market, the professional real estate credit market, the leasing market (which can be segmented between equipment leasing and real estate leasing), the local government credit market, the credit insurance market, the foreign trade financing market, the payment card market (acquisition of transactions made by merchants equipped with card payment systems), the international payments market, the remote local payments market, the short-term (financing) products market, the factoring market, the custody market, and the fund administration market. In this case, there is no need to challenge this delimitation.  </w:t>
        <w:br/>
        <w:t xml:space="preserve">3 COMP/M. 2567, Nordbanken/Postgirot; COMP/M.4844, Fortis/ABN AMRO Assets;  </w:t>
        <w:br/>
        <w:t xml:space="preserve">4 Decision No. 09-DCC-16 cited above.  </w:t>
        <w:br/>
        <w:t>5 Decision No. 09-DCC-16 cited above.</w:t>
      </w:r>
    </w:p>
    <w:p>
      <w:r>
        <w:rPr>
          <w:b/>
        </w:rPr>
        <w:t>[Pages 4–6]</w:t>
      </w:r>
    </w:p>
    <w:p>
      <w:r>
        <w:t>14. The parties are simultaneously present in ten of these fifteen markets: the demand deposit market, the corporate savings market, the investment credit market, the professional real estate credit market, the leasing market, the local government credit market, the payment card market, the international payments market, the remote local payments market, the short-term products market.</w:t>
      </w:r>
    </w:p>
    <w:p>
      <w:r>
        <w:t xml:space="preserve">2. GEOGRAPHICAL MARKETS  </w:t>
        <w:br/>
        <w:t xml:space="preserve">a) Retail banking markets  </w:t>
        <w:br/>
        <w:t xml:space="preserve">15. National and European competition authorities have generally considered that retail banking markets are at most national in scope, despite some degree of community harmonization. Each of the DROM (Overseas Department or Region) constitutes a distinct market, given their geographical remoteness from the mainland, insularity, and local specificities.  </w:t>
        <w:br/>
        <w:t xml:space="preserve">16. In its decision No. 09-DCC-16, the Competition Authority also noted that with regard to banking services for individuals, the proximity of branches was an important factor as these are primarily relational activities. It also emphasized that the competitive conditions in the metropolitan territory were not homogeneous, particularly considering the significant role played by mutual and cooperative networks in the French banking system, differences in the presence of banking groups, the adaptation of commercial strategies to the local competitive context, and the existence of regional banking brands. The competitive analysis was thus conducted both at the national and local levels, with practice having retained, for the latter level, circles with a radius corresponding to a journey of about twenty minutes by car around a municipality.  </w:t>
        <w:br/>
        <w:t xml:space="preserve">17. In this case, the parties to the transaction presented their data at both the national and local levels, with the target being present only in the southeast of France.  </w:t>
        <w:br/>
        <w:t xml:space="preserve">b) Commercial banking markets  </w:t>
        <w:br/>
        <w:t xml:space="preserve">18. Community competition authorities consider that commercial banking markets are national in scope when services are provided to small and medium-sized enterprises, and supranational when provided to large enterprises. Indeed, the latter have easy access to the entire offering available at the national, European, or even global level, which is not the case for smaller enterprises.  </w:t>
        <w:br/>
        <w:t xml:space="preserve">19. In its decision No. 09-DCC-16, the Competition Authority similarly found the importance of proximity relationships (at least for SMEs) and the heterogeneity of competitive conditions in the national territory. It thus considered that the competitive analysis should be conducted at both the national and local levels. However, it estimated that the possibilities for competition among banking groups appeared broader for SMEs than those offered by a twenty-minute car journey, which was the delimitation considered for individuals, so that the analysis was conducted at a departmental level.  </w:t>
        <w:br/>
        <w:t xml:space="preserve">20. There is no reason to call into question this delimitation of markets in the context of the present transaction.  </w:t>
        <w:br/>
        <w:t xml:space="preserve">B. THE INSURANCE SECTOR  </w:t>
        <w:br/>
        <w:t xml:space="preserve">21. The decision-making practice consistently distinguishes three different markets: the reinsurance market, the insurance production market, and the insurance distribution market. In this case, the activities of the parties overlap only in the latter market.  </w:t>
        <w:br/>
        <w:t xml:space="preserve">1. MARKETS FOR INSURANCE DISTRIBUTION SERVICES  </w:t>
        <w:br/>
        <w:t xml:space="preserve">22. National and community competition authorities have considered segmenting the insurance distribution market according to several criteria. Firstly, a broad market for the distribution of insurance products by independent intermediaries has been distinguished, encompassing all distribution channels, namely agents, brokers, and other intermediaries (including banks), except for direct distribution by insurance companies. Indeed, networks belonging to insurance companies cannot fall within this definition as they are part of the normal activity of these groups. A narrower market for insurance brokerage, comprising only this channel, has been identified. Secondly, segmentations based on clientele (businesses or individuals) and major categories of insured risks have also been considered, due to their low substitutability.  </w:t>
        <w:br/>
        <w:t xml:space="preserve">23. Nevertheless, the question of the exact definition of insurance distribution markets can be left open as, regardless of the delimitation retained, the conclusions of the analysis will remain unchanged.  </w:t>
        <w:br/>
        <w:t xml:space="preserve">24. Since SMC distributes insurance products only through its own network of bank branches, the effects of the present transaction will be examined in the market for insurance distribution by independent intermediaries, possibly segmented between life insurance and property and liability insurance.  </w:t>
        <w:br/>
        <w:t xml:space="preserve">2. GEOGRAPHICAL MARKETS  </w:t>
        <w:br/>
        <w:t xml:space="preserve">25. The competition authorities have considered that the market for the distribution of insurance products is, for the most part, national in scope. There is no reason, in the context of the present transaction, to call into question this delimitation.  </w:t>
        <w:br/>
        <w:t xml:space="preserve">6 See notably the letter from the Minister of Economy, Finance and Industry No. C2005-34 of July 1, 2005, to the boards of BNP-Paribas and Galeries Lafayette; letter from the Minister of Economy, Finance and Industry No. C2005-107 of December 15, 2005, to the boards of the Banque Populaire and Covéa groups.  </w:t>
        <w:br/>
        <w:t xml:space="preserve">7 European Commission Decision No. COMP/M.3894 of October 18, 2005 Unicredito/HVB.  </w:t>
        <w:br/>
        <w:t xml:space="preserve">III. Competitive Analysis  </w:t>
        <w:br/>
        <w:t xml:space="preserve">A. COMPETITIVE ANALYSIS IN THE BANKING SECTOR  </w:t>
        <w:br/>
        <w:t xml:space="preserve">1. RETAIL BANKING MARKETS  </w:t>
        <w:br/>
        <w:t xml:space="preserve">26. At the national level, the market shares of the parties involved in the transaction in the various segments of the retail banking market can be estimated, as indicated in the table below:  </w:t>
        <w:br/>
        <w:t xml:space="preserve">Retail banking (market Market shares  </w:t>
        <w:br/>
        <w:t xml:space="preserve">* shares on outstanding SG/CDN SMC cumulative CA/LCL* CM/CIC* LBP* BNPP* BPCE* balances)  </w:t>
        <w:br/>
        <w:t xml:space="preserve">Demand deposits [10-20] % [0-5] % [10-20] % [20-30] % [5-10] % [10-20] % [5-10] % [10-20] %  </w:t>
        <w:br/>
        <w:t xml:space="preserve">Bank savings (Livret A and Bleu [5-10] % [0-5] % [5-10] % [20-30] % [5-10] % [10-20] % [5-10] % [20-30] % included)  </w:t>
        <w:br/>
        <w:t xml:space="preserve">Bank savings (Livret A and Bleu [5-10] % [0-5] % [5-10] % [30-40] % [5-10] % [10-20] % [5-10] % [20-30] % excluded)  </w:t>
        <w:br/>
        <w:t xml:space="preserve">Off-balance sheet savings [5-10] % [0-5] % [5-10] % [10-20] % [5-10] % [5-10] % [5-15] % [5-15] %  </w:t>
        <w:br/>
        <w:t xml:space="preserve">Real estate credit [5-10] % [0-5] % [5-10] % [25-35] % [10-20] % [0-5] % [5-10] % [20-30] %  </w:t>
        <w:br/>
        <w:t xml:space="preserve">Consumer credit [5-10] % [0-5] % [5-10] % [10-20] % [10-20] % [0-5] % [5-10] % [10-20] %  </w:t>
        <w:br/>
        <w:t xml:space="preserve">Debt restructuring credit [0-5] % [0-5] % [0-5] % [30-40] % [5-10] % - [5-10] % [20-30] %  </w:t>
        <w:br/>
        <w:t xml:space="preserve">Payment cards [0-5] % [10-20] % [20-30] % [10-20] % [10-20] % [5-10] % [10-20] % [10-20] %  </w:t>
        <w:br/>
        <w:t xml:space="preserve">27. Thus, the transaction will lead to a small increment in market shares for the acquiring group as SMC's market shares do not exceed [0-5] %, regardless of the segment considered. Furthermore, while their cumulative market shares remain below [10-20] %, the parties compete with several particularly powerful banking groups in retail banking, such as the Banque Populaire-Caisse d'Epargne group or the Crédit Agricole-Crédit Lyonnais group.  </w:t>
        <w:br/>
        <w:t>28. At the local level, the notifying party calculated its market shares based on the number of branches in the relevant area and only taking into account the branches of La Banque Postale with a financial advisor.</w:t>
      </w:r>
    </w:p>
    <w:p>
      <w:r>
        <w:rPr>
          <w:b/>
        </w:rPr>
        <w:t>[Pages 7–9]</w:t>
      </w:r>
    </w:p>
    <w:p>
      <w:r>
        <w:t>29. Specifically, it identified, for each municipality where an SMC branch was located, an area comprising all municipalities within a 20-minute radius of that municipality. For each of these identified areas, it then calculated the market shares (in terms of the number of branches) of the parties and the various competing banking groups.</w:t>
      </w:r>
    </w:p>
    <w:p>
      <w:r>
        <w:t>30. In this way, the ten catchment areas of 20 minutes in which the cumulative market shares of the parties will be the highest are as follows: Cavalaire-sur-Mer (29 %), Saint-Raphaël ([20-30] %), Fréjus ([20-30] %), La Croix-Valmer ([20-30] %), Gassin ([20-30] %), Nyons ([20-30] %), Saint-Tropez ([20-30] %), Sainte-Maxime ([20-30] %), Gange ([20-30] %), Le Vigan ([20-30] %).</w:t>
      </w:r>
    </w:p>
    <w:p>
      <w:r>
        <w:t>31. Thus, the notifying party will present market shares exceeding 25 % in only two of the relevant areas, namely Cavalaire-sur-Mer and Saint-Raphaël. The table below precisely presents the competitive conditions in these two respective areas:</w:t>
      </w:r>
    </w:p>
    <w:p>
      <w:r>
        <w:t>Total</w:t>
        <w:br/>
        <w:t>Total</w:t>
        <w:br/>
        <w:t>SG/CdN* SMC* SG/CdN CM/CIC* CA/LCL* BNPP* BPCE* LBP* Others14</w:t>
        <w:br/>
        <w:t>market</w:t>
        <w:br/>
        <w:t>+ SMC</w:t>
        <w:br/>
        <w:t>in</w:t>
        <w:br/>
        <w:t>number [0-5] [0-5] [5-10] [0-5] [5-10] [0-5] [0-5] [0-5] 0 [20-30]</w:t>
        <w:br/>
        <w:t>Cavalaire-</w:t>
        <w:br/>
        <w:t>sur-Mer in share [10- [10- [20- [20- [10- [10-</w:t>
        <w:br/>
        <w:t>of [0-5] % [5-10] % 0 100 %</w:t>
        <w:br/>
        <w:t>market</w:t>
        <w:br/>
        <w:t>in</w:t>
        <w:br/>
        <w:t>number [10-20] [0-5] [10-20] [0-5] [10-20] [5-10] [10-20] [5-10] [0-5] [60-70]</w:t>
        <w:br/>
        <w:t>Saint-</w:t>
        <w:br/>
        <w:t>Raphaël in share [20- [5- [20- [20- [20- [5-</w:t>
        <w:br/>
        <w:t>of [5-10] % [5-10] % [5-10] % 100 %</w:t>
        <w:br/>
        <w:t>market</w:t>
      </w:r>
    </w:p>
    <w:p>
      <w:r>
        <w:t>32. In each of these two areas, the parties will face competition from at least five different banking groups, with a gap of less than 5 points with their closest competitor.</w:t>
      </w:r>
    </w:p>
    <w:p>
      <w:r>
        <w:t>33. Consequently, the present transaction is not likely to harm competition in the retail banking markets.</w:t>
      </w:r>
    </w:p>
    <w:p>
      <w:r>
        <w:t>2. COMMERCIAL BANKING MARKETS</w:t>
      </w:r>
    </w:p>
    <w:p>
      <w:r>
        <w:t>34. At the national level, the market shares of the parties involved in the transaction in the various segments of the commercial banking market can be estimated, as indicated in the table below15:</w:t>
      </w:r>
    </w:p>
    <w:p>
      <w:r>
        <w:t>13 It adopted the calculation method that had been retained in decision n°09-DCC-16 of the Competition Authority</w:t>
        <w:br/>
        <w:t>* for the meaning of the acronyms, see note * on page 6.</w:t>
        <w:br/>
        <w:t>14 Others: notably HSBC, Monte Paschi, Barclays Bank PLC, etc.</w:t>
        <w:br/>
        <w:t>15 The parties estimated these market shares based on the statistics of the Banque de France for the year 2009.</w:t>
      </w:r>
    </w:p>
    <w:p>
      <w:r>
        <w:t>Commercial banking Market shares</w:t>
        <w:br/>
        <w:t>(market shares on SG/CdN SMC market CA/LCL CM/CIC LBP BNPP BPCE</w:t>
        <w:br/>
        <w:t>outstanding) cumulative</w:t>
        <w:br/>
        <w:t>Demand deposits [10-20] % [0-5] % [10-20] % [10-20] % [0-5] % [5-10] % [5-10] % [10-20] %</w:t>
        <w:br/>
        <w:t>Savings [10-20] % [0-5] % [10-20] % [20-30] % [5-10] % [0-5] % [5-20] % [10-20] %</w:t>
        <w:br/>
        <w:t>Investment credits [5-10] % [0-5] % [5-10] % [20-30] % [5-10] % [0-5] % [5-10] % [10-20] %</w:t>
        <w:br/>
        <w:t>Real estate credit [5-10] % [0-5] % [5-10] % [10-20] % [5-10] % [0-5] % [5-10] % [10-20] %</w:t>
        <w:br/>
        <w:t>Leasing [10-20] % [0-5] % [10-20] % ND ND ND ND [20-30] %</w:t>
        <w:br/>
        <w:t>Equipment leasing [10-20] % [0-5] % [10-20] % [10-20] % [10-20] % ND [10-20] % [10-20] %</w:t>
        <w:br/>
        <w:t>Real estate leasing [10-20] % [0-5] % [10-20] % [10-20] % [5-10] % ND [5-10] % [20-30] %</w:t>
        <w:br/>
        <w:t>Local government credit [10-20] % [0-5] % [10-20] % [10-20] % [0-5] % - [0-5] % [20-30] %</w:t>
        <w:br/>
        <w:t>Agricultural credit [0-5] % NS [0-5] % [70-80] % [10-20] % [0-5] % [0-5] % [5-10] %</w:t>
        <w:br/>
        <w:t>Payment cards (number of [10-20] % [0-5] % [10-20] % [20-30] % [20-30] % [0-5] % [5-10] % [10-20] %</w:t>
        <w:br/>
        <w:t>merchant contracts)</w:t>
        <w:br/>
        <w:t>International payments</w:t>
        <w:br/>
        <w:t>Issuances in number [5-10] % [0-5] % [5-10] % ND ND ND ND ND</w:t>
        <w:br/>
        <w:t>of operations (millions)</w:t>
        <w:br/>
        <w:t>Receipts in number [5-10] % [0-5] % [5-10] % ND ND ND ND ND</w:t>
        <w:br/>
        <w:t>of operations (millions)</w:t>
        <w:br/>
        <w:t>Local payments</w:t>
        <w:br/>
        <w:t>Issuances in number [10-20] % [0-5] % [10-20] % [20-30] % [10-20] % [0-5] % [10-20] % [20-30] %</w:t>
        <w:br/>
        <w:t>of operations (millions)</w:t>
        <w:br/>
        <w:t>Issuances in value [10-20] % [0-5] % [10-20] % [20-30] % [10-20] % [0-5] % [10-20] % [10-20] %</w:t>
        <w:br/>
        <w:t>of operations (millions of €)</w:t>
        <w:br/>
        <w:t>Short-term products [10-20] % [0-5] % [10-20] % [10-20] % [0-5] % [0-5] % [10-20] % [0-5] %</w:t>
      </w:r>
    </w:p>
    <w:p>
      <w:r>
        <w:t>35. The cumulative market shares of the parties thus remain below 20 %, regardless of the segment considered, with a low increment between 0 and [0-5] %. The parties compete with at least five different banking groups, notably the Crédit Agricole-Crédit Lyonnais group and the Banque Populaire-Caisse d’Epargne group, which are leaders in most of the considered markets.</w:t>
      </w:r>
    </w:p>
    <w:p>
      <w:r>
        <w:t>36. At the local level, the notifying party used two methods of calculating market shares to assess the effects of the transaction: one based on the number of branches in each concerned department; the second based on the outstanding credits and deposits. Furthermore, the branches of the Banque Postale were not taken into account in assessing the size of the market as they are not authorized to distribute credit to businesses17.</w:t>
      </w:r>
    </w:p>
    <w:p>
      <w:r>
        <w:t>37. The market shares of the parties can be estimated as indicated in the table below:</w:t>
      </w:r>
    </w:p>
    <w:p>
      <w:r>
        <w:t>market shares</w:t>
        <w:br/>
        <w:t>Calculation basis SG/CdN SMC</w:t>
        <w:br/>
        <w:t>cumulative</w:t>
        <w:br/>
        <w:t>number of branches [5-10] % [5-10] % [10-20] %</w:t>
        <w:br/>
        <w:t>Alpes de Haute</w:t>
        <w:br/>
        <w:t>outstanding credits [0-5] % [0-5] % [5-10] %</w:t>
        <w:br/>
        <w:t>Provence</w:t>
        <w:br/>
        <w:t>outstanding deposits [0-5] % [5-10] % [5-10] %</w:t>
        <w:br/>
        <w:t>number of branches [10-20] % [0-5] % [10-20] %</w:t>
        <w:br/>
        <w:t>Alpes Maritimes outstanding credits [10-20] % [0-5] % [10-20] %</w:t>
        <w:br/>
        <w:t>outstanding deposits [10-20] % [0-5] % [10-20] %</w:t>
        <w:br/>
        <w:t>number of branches [5-10] % [0-5] % [5-10] %</w:t>
        <w:br/>
        <w:t>Aude outstanding credits [5-10] % [0-5] % [5-10] %</w:t>
        <w:br/>
        <w:t>outstanding deposits [5-10] % [0-5] % [5-10] %</w:t>
        <w:br/>
        <w:t>number of branches [0-5] % [0-5] % [0-5] %</w:t>
        <w:br/>
        <w:t>Aveyron outstanding credits [0-5] % [0-5] % [0-5] %</w:t>
        <w:br/>
        <w:t>outstanding deposits [0-5] % [0-5] % [0-5] %</w:t>
        <w:br/>
        <w:t>number of branches [10-20] % [0-5] % [10-20] %</w:t>
        <w:br/>
        <w:t>Bouches du Rhône outstanding credits [10-20] % [0-5] % [10-20] %</w:t>
        <w:br/>
        <w:t>outstanding deposits [10-20] % [5-10] % [10-20] %</w:t>
        <w:br/>
        <w:t>number of branches [5-10] % [0-5] % [10-20] %</w:t>
        <w:br/>
        <w:t>Drôme outstanding credits [10-20] % [0-5] % [10-20] %</w:t>
        <w:br/>
        <w:t>outstanding deposits [10-20] % [0-5] % [10-20] %</w:t>
        <w:br/>
        <w:t>number of branches [5-10] % [0-5] % [10-20] %</w:t>
        <w:br/>
        <w:t>Gard outstanding credits [5-10] % [0-5] % [5-10] %</w:t>
        <w:br/>
        <w:t>outstanding deposits [5-10] % [0-5] % [10-20] %</w:t>
        <w:br/>
        <w:t>number of branches [0-5] % [0-5] % [0-5] %</w:t>
        <w:br/>
        <w:t>Hautes Alpes outstanding credits [0-5] % [0-5] % [5-10] %</w:t>
        <w:br/>
        <w:t>outstanding deposits [0-5] % [0-5] % [0-5] %</w:t>
        <w:br/>
        <w:t>number of branches [5-10] % [0-5] % [10-20] %</w:t>
        <w:br/>
        <w:t>Hérault outstanding credits [10-20] % [0-5] % [10-20] %</w:t>
        <w:br/>
        <w:t>outstanding deposits [10-20] % [0-5] % [10-20] %</w:t>
        <w:br/>
        <w:t>number of branches [5-10] % [0-5] % [10-20] %</w:t>
        <w:br/>
        <w:t>Pyrénées Orientales outstanding credits [5-10] % [0-5] % [5-10] %</w:t>
        <w:br/>
        <w:t>outstanding deposits [5-10] % [0-5] % [5-10] %</w:t>
        <w:br/>
        <w:t>17 These methods of calculating market shares correspond to those that had been retained in decision n°09-DCC-16 of the Competition Authority.</w:t>
      </w:r>
    </w:p>
    <w:p>
      <w:r>
        <w:rPr>
          <w:b/>
        </w:rPr>
        <w:t>[Pages 10–11]</w:t>
      </w:r>
    </w:p>
    <w:p>
      <w:r>
        <w:t>nbe of branches [10-20] % [5-10] % [10-20] %</w:t>
        <w:br/>
        <w:t>Var outstanding credits [10-20] % [5-10] % [10-20] %</w:t>
        <w:br/>
        <w:t>outstanding deposits [10-20] % [5-10] % [20-30] %</w:t>
        <w:br/>
        <w:t>nbe of branches [5-10] % [5-10] % [10-20] %</w:t>
        <w:br/>
        <w:t>Vaucluse outstanding credits [10-20] % [5-10] % [10-20] %</w:t>
        <w:br/>
        <w:t>outstanding deposits [10-20] % [5-10] % [20-30] %</w:t>
        <w:br/>
        <w:t>38. Thus, regardless of the market segments considered, the cumulative market shares of the parties involved in the transaction remain below 25%. In each department, the acquiring group will face at least five competing banking groups: Crédit Mutuel/CIC, Crédit Agricole/Crédit Lyonnais, BNP-Paribas, Banque Populaire-Caisse d'Epargne, HSBC. Therefore, the transaction is not likely to harm competition in the commercial banking markets.</w:t>
      </w:r>
    </w:p>
    <w:p>
      <w:r>
        <w:t>B. COMPETITIVE ANALYSIS IN THE INSURANCE SECTOR</w:t>
        <w:br/>
        <w:t>39. SMC is only marginally active in the insurance distribution markets, marketing only life insurance products and, incidentally, property insurance products.</w:t>
        <w:br/>
        <w:t>40. In the various relevant markets, the cumulative market shares of the parties do not exceed [10-20]%, regardless of the market delineations retained. In particular, in the market for property insurance distribution by independent intermediaries, the acquiring group estimates its market share to be between 10 and [10-20]%, while that of SMC is below [0-5]%. In the market for personal insurance distribution by independent intermediaries, and more specifically in life insurance, the only product simultaneously marketed by both parties, the market shares of the acquirer and the target have been estimated at [10-20]% and [0-5]%, respectively, resulting in a cumulative market share of [10-20]%.</w:t>
        <w:br/>
        <w:t>41. The Société Générale group will continue to face competition from significant groups, such as CA/LCL, BNPP, CM/CIC.</w:t>
        <w:br/>
        <w:t>42. Consequently, the transaction is not likely to significantly strengthen the acquiring group's market power in any of the insurance markets.</w:t>
      </w:r>
    </w:p>
    <w:p>
      <w:r>
        <w:t>DECIDES</w:t>
        <w:br/>
        <w:t>Sole Article: The transaction notified under number 10-0101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