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https://www.autoritedelaconcurrence.fr/fr/decision-de-controle-des-concentrations/relative-la-prise-de-controle-exclusif-de-la-branche-de</w:t>
      </w:r>
    </w:p>
    <w:p>
      <w:r>
        <w:t>Pages translated : 4</w:t>
      </w:r>
    </w:p>
    <w:p/>
    <w:p>
      <w:r>
        <w:rPr>
          <w:b/>
        </w:rPr>
        <w:t>[Pages 1–3]</w:t>
      </w:r>
    </w:p>
    <w:p>
      <w:r>
        <w:t xml:space="preserve">FRENCH REPUBLIC  </w:t>
        <w:br/>
        <w:t xml:space="preserve">Decision No. 19-DCC-269 of December 30, 2019  </w:t>
        <w:br/>
        <w:t>regarding the exclusive control of the air treatment branch of SIG Air by the France Air group</w:t>
      </w:r>
    </w:p>
    <w:p>
      <w:r>
        <w:t xml:space="preserve">The Competition Authority,  </w:t>
        <w:br/>
        <w:t xml:space="preserve">Having regard to the notification file submitted in full to the merger service on December 2, 2019, regarding the exclusive control of the companies SIG Air Handling UK Ltd, Société Industrielle de l’Ouest des Produits Isolants SAS, Saftair Ventilation SAS, Sebemex SAS, SIG Air Handling International BV by the company France Air Management, formalized by a transfer agreement dated October 7, 2019;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France Air Management is a public limited company, controlled by France Air Corporate, the parent company of the France Air group. The latter is active in the design and distribution of air treatment products to treat, heat, cool, or purify indoor air.  </w:t>
        <w:br/>
        <w:t xml:space="preserve">2. The companies SIG Air Handling UK Ltd, Société Industrielle de l’Ouest des Produits Isolants SAS, Saftair Ventilation SAS, Sebemex SAS, SIG Air Handling International BV and their subsidiaries (hereinafter, "the target companies") constitute the air treatment branch of the SIG group. These companies are active in the distribution of air treatment products and thermal insulation and personal protection.  </w:t>
        <w:br/>
        <w:t xml:space="preserve">3. The notified operation, formalized by a transfer agreement dated October 7, 2019, consists of the acquisition by France Air Management of all the shares of the target companies.  </w:t>
        <w:br/>
        <w:t xml:space="preserve">4. Insofar as it results in the exclusive control of the target companies by the France Air group, the notified operation constitutes a concentration operation within the meaning of Article L. 430-1 of the Commercial Code.  </w:t>
        <w:br/>
        <w:t>5. The concerned companies together achieve a total worldwide turnover of more than 150 million euros (France Air group: [≤ 150 million] euros for the fiscal year ending December 31, 2018; target companies: [≥ 150 million] euros for the same fiscal year). Each of these companies achieves, in France, a turnover exceeding 50 million euros (France Air group: [≥ 50 million] euros for the fiscal year ending December 31, 2018; target companies: [≥ 50 million] euros for the same fiscal year). Given these turnovers,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A. PRODUCT MARKETS  </w:t>
        <w:br/>
        <w:t xml:space="preserve">6. The parties are simultaneously active in the air treatment sector (heating, ventilation, air conditioning, and refrigeration), generally referred to by the English acronym "HVAC/R" (heating, ventilation, air conditioning / refrigeration).  </w:t>
        <w:br/>
        <w:t>7. The parties do not offer refrigeration products. They are simultaneously present in the air conditioning (1.), ventilation (2.), and heating (3.) markets, the latter two markets having not yet been defined by decision-making practice.</w:t>
      </w:r>
    </w:p>
    <w:p>
      <w:r>
        <w:t xml:space="preserve">1. AIR CONDITIONING PRODUCT DISTRIBUTION MARKETS  </w:t>
        <w:br/>
        <w:t xml:space="preserve">8. Decision-making practice has distinguished, within the markets for the distribution of air conditioning and refrigeration products, an upstream market (supply of distributors from manufacturers) and a downstream market (supply of air conditioning installers from distributors).  </w:t>
        <w:br/>
        <w:t xml:space="preserve">9. It has considered segmenting the upstream market between the supply of distributors in air conditioning products on the one hand and in refrigeration products on the other hand.  </w:t>
        <w:br/>
        <w:t>10. In the downstream market, decision-making practice has considered a segmentation based on the power of the distributed air conditioning systems. It has thus distinguished air conditioning systems (i) intended for residential customers and small businesses, (ii) intended for medium-sized businesses and enterprises, and (iii) intended for large shopping centers and industrial clients.</w:t>
      </w:r>
    </w:p>
    <w:p>
      <w:r>
        <w:t xml:space="preserve">1 The parties are also present as buyers in the market for air handling units considered by the European Commission in decision M. 8121 Triton / Fläkt Woods of September 22, 2016. They integrate these units into the heating, ventilation, and air conditioning systems they distribute to installers. These units allow the circulation of heated or cooled air for heating and air conditioning systems. The distribution of these units to installers is therefore included in the downstream market shares in the distribution markets for air conditioning, ventilation, and heating products. Given the limited market shares of the parties, any vertical effect with the air handling unit market can be excluded. This market will not be examined in detail in this decision.  </w:t>
        <w:br/>
        <w:t xml:space="preserve">2 See in particular the Authority's decision No. 11-DCC-147 of October 5, 2011, regarding the exclusive control of United Refrigeration France SAS by G&amp;L Beijer Ref AB and No. 15-DCC-69 of June 15, 2015, regarding the exclusive control of certain assets of Hitachi Appliances by Johnson Controls Inc.  </w:t>
        <w:br/>
        <w:t xml:space="preserve">3 Ibid.  </w:t>
        <w:br/>
        <w:t>4 See the European Commission decisions M. 4271 Daikin / oyl of October 2, 2016, and M. 7375 UTC/Ciat of December 5, 2014. The European Commission left open the question of the precise boundary in kilowatts between each category. In decision M. 4271, it notably considered, while leaving the question open, a market segmentation based on the following power ranges: (i) below 25 kW, (ii) between 25 and 250 kW, and (iii) above 250 kW.</w:t>
      </w:r>
    </w:p>
    <w:p>
      <w:r>
        <w:t xml:space="preserve">11. It also considered segmentations by technology for air conditioning systems intended for individuals and small businesses on the one hand and for medium-sized businesses and enterprises on the other hand.  </w:t>
        <w:br/>
        <w:t xml:space="preserve">12. For air conditioning systems intended for residential customers and small businesses, the European Commission considered a distinction between (i) window air conditioners, (ii) portable monobloc air conditioners, (iii) limited power water air conditioners, and (iv) so-called "split" air conditioners, which involve installing part of the system outside the residence or business, with limited power. Similarly, for systems for medium-sized businesses and enterprises, the Commission considered a segmentation between (i) water air conditioners, (ii) variable refrigerant flow (VRF) systems, and (iii) split air conditioners.  </w:t>
        <w:br/>
        <w:t>13. In this case, the question of the segmentation of the air conditioning product distribution markets can be left open as the conclusions of the competitive analysis remain unchanged regardless of the delimitation adopted.</w:t>
      </w:r>
    </w:p>
    <w:p>
      <w:r>
        <w:t xml:space="preserve">2. VENTILATION PRODUCT DISTRIBUTION MARKETS  </w:t>
        <w:br/>
        <w:t xml:space="preserve">14. The notifying party considers it relevant to distinguish specific upstream and downstream markets for the distribution of ventilation products. It also considers it relevant to segment the downstream market based on the power of the ventilation systems. The notifying party proposes to distinguish ventilation systems intended for residential customers and small and medium businesses on the one hand and ventilation systems intended for commercial and industrial buildings on the other hand.  </w:t>
        <w:br/>
        <w:t xml:space="preserve">15. In this regard, it appears that the European regulation on ecodesign requirements for ventilation units distinguishes between residential ventilation systems and non-residential ventilation units.  </w:t>
        <w:br/>
        <w:t>16. In this case, the question of the delimitation of the ventilation product distribution markets can be left open as the conclusions of the competitive analysis remain unchanged regardless of the delimitation adopted.</w:t>
      </w:r>
    </w:p>
    <w:p>
      <w:r>
        <w:t xml:space="preserve">3. HEATING PRODUCT DISTRIBUTION MARKETS  </w:t>
        <w:br/>
        <w:t xml:space="preserve">17. Decision-making practice has identified (i) an upstream market for the supply of heating products within the markets for the supply of construction materials and (ii) a downstream market for specialized trading in so-called SACHA products (sanitary, heating, and air conditioning) intended for professionals.  </w:t>
        <w:br/>
        <w:t xml:space="preserve">18. The notifying party considers that it is not relevant to consider these markets as SACHA products do not correspond to the activities of the parties. Furthermore, the notifying party emphasizes that the customers in the downstream market for specialized trading in SACHA products are plumbers and heating engineers, whereas the customers of the parties are installers of climate engineering such as [confidential], or [confidential].  </w:t>
        <w:br/>
        <w:t>19. The notifying party proposes to identify, similarly to the decision-making practice on the distribution of air conditioning products, distinct markets for heating systems upstream and downstream. For the downstream market, the notifying party proposes to segment the market.</w:t>
      </w:r>
    </w:p>
    <w:p>
      <w:r>
        <w:rPr>
          <w:b/>
        </w:rPr>
        <w:t>[Pages 4–4]</w:t>
      </w:r>
    </w:p>
    <w:p>
      <w:r>
        <w:t>kW, (ii) between 25 and 250 kW, and (iii) above 250 kW.</w:t>
      </w:r>
    </w:p>
    <w:p>
      <w:r>
        <w:t>20. In this case, the question of the delimitation of the markets for the distribution of heating products can be left open insofar as the conclusions of the competitive analysis remain unchanged regardless of the delimitation adopted.</w:t>
      </w:r>
    </w:p>
    <w:p>
      <w:r>
        <w:t>B. GEOGRAPHICAL MARKETS</w:t>
      </w:r>
    </w:p>
    <w:p>
      <w:r>
        <w:t>21. The decision-making practice has indicated, while leaving the question open, that the geographical dimension of the markets for the distribution of air conditioning products is at least national and may be European. The notifying party proposes to adopt a similar dimension for the markets for the distribution of ventilation and heating products.</w:t>
      </w:r>
    </w:p>
    <w:p>
      <w:r>
        <w:t>22. In this case, the competitive analysis will be conducted on national markets and on the markets of the European Economic Area. However, the question of the exact delimitation of these markets can be left open, with the conclusions of the competitive analysis remaining unchanged.</w:t>
      </w:r>
    </w:p>
    <w:p>
      <w:r>
        <w:t>III. Competitive Analysis</w:t>
      </w:r>
    </w:p>
    <w:p>
      <w:r>
        <w:t>23. The parties are simultaneously present as distributors in the upstream and downstream markets for the distribution of air conditioning, heating, and ventilation products. In these markets, regardless of the segmentations adopted, the combined market shares of the parties are below 25%.</w:t>
      </w:r>
    </w:p>
    <w:p>
      <w:r>
        <w:t>24. Given these limited market shares and in light of point 384 of the guidelines of the Competition Authority regarding the control of concentrations, the operation is not likely to harm competition.</w:t>
      </w:r>
    </w:p>
    <w:p>
      <w:r>
        <w:t>DECIDES</w:t>
      </w:r>
    </w:p>
    <w:p>
      <w:r>
        <w:t>Sole Article: The operation notified under number 19-287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