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https://www.autoritedelaconcurrence.fr/fr/decision-de-controle-des-concentrations/relative-la-prise-de-controle-exclusif-de-la-concession-0</w:t>
      </w:r>
    </w:p>
    <w:p>
      <w:r>
        <w:t>Pages translated : 2</w:t>
      </w:r>
    </w:p>
    <w:p/>
    <w:p>
      <w:r>
        <w:rPr>
          <w:b/>
        </w:rPr>
        <w:t>[Pages 1–2]</w:t>
      </w:r>
    </w:p>
    <w:p>
      <w:r>
        <w:t>FRENCH REPUBLIC</w:t>
        <w:br/>
        <w:t>Decision No. 23-DCC-198 of October 3, 2023</w:t>
        <w:br/>
        <w:t>regarding the exclusive control acquisition of the BMW Laval dealership by the Pautric group</w:t>
        <w:br/>
        <w:t>The Competition Authority,</w:t>
        <w:br/>
        <w:t>Having regard to the complete notification file sent to the mergers department on September 15, 2023, concerning the exclusive control acquisition by the Pautric group of the BMW Laval dealership located at Parc de l’Automobile – Zone des Montrons in Laval (53), formalized by a letter of intent dated April 12, 2023;</w:t>
        <w:br/>
        <w:t>Having regard to Book IV of the Commercial Code relating to freedom of prices and competition, and in particular its Articles L. 430-1 to L. 430-7;</w:t>
        <w:br/>
        <w:t>Adopts the following decision:</w:t>
        <w:br/>
        <w:t>1. The notified operation consists of the exclusive control acquisition by the Pautric group of the car dealership located at Parc de l’Automobile – Zone des Montrons, in Laval (53), which is active in the sector of automobile distribution. The operation constitutes a concentration within the meaning of Article L. 430-1 of the Commercial Code. Given the turnover achieved by the concerned companies, the operation does not fall under the jurisdiction of the European Union. However, the retail trade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23-245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