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https://www.autoritedelaconcurrence.fr/fr/decision-de-controle-des-concentrations/relative-la-prise-de-controle-exclusif-de-la-concession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12-DCC-168 of December 7, 2012  </w:t>
        <w:br/>
        <w:t xml:space="preserve">regarding the exclusive control acquisition of the Citroën dealership in Brest  </w:t>
        <w:br/>
        <w:t xml:space="preserve">by the company Holding Midi Auto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19, 2012, concerning the exclusive control acquisition of an automotive business  </w:t>
        <w:br/>
        <w:t xml:space="preserve">under the Citroën brand, by the company Holding Midi Auto, formalized by a transfer agreement, dated November 5,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business  </w:t>
        <w:br/>
        <w:t xml:space="preserve">operating a Citroën automotive dealership located in the city of Brest (29), by the company Holding Midi Auto, which operates automotive dealerships in the regions of Brittany, Centre, Upper Normandy, Limousin, Midi-Pyrénées, and Provence-Alpes-Côte d’Azur. It constitutes a concentration operation within the meaning of Article L. 430-1 of the Commercial Code. Given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12-183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