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https://www.autoritedelaconcurrence.fr/fr/decision-de-controle-des-concentrations/relative-la-prise-de-controle-exclusif-de-la-cooperative-0</w:t>
      </w:r>
    </w:p>
    <w:p>
      <w:r>
        <w:t>Pages translated : 2</w:t>
      </w:r>
    </w:p>
    <w:p/>
    <w:p>
      <w:r>
        <w:rPr>
          <w:b/>
        </w:rPr>
        <w:t>[Pages 1–2]</w:t>
      </w:r>
    </w:p>
    <w:p>
      <w:r>
        <w:t xml:space="preserve">FRENCH REPUBLIC  </w:t>
        <w:br/>
        <w:t xml:space="preserve">Letter No. 10-DCC-104 of August 24, 2010  </w:t>
        <w:br/>
        <w:t xml:space="preserve">to the Capel cooperative regarding the exclusive control acquisition of the  </w:t>
        <w:br/>
        <w:t>Bevicor cooperative</w:t>
      </w:r>
    </w:p>
    <w:p>
      <w:r>
        <w:t>Gentlemen,</w:t>
      </w:r>
    </w:p>
    <w:p>
      <w:r>
        <w:t>You notified on July 21, 2010, the mergers department of the Competition Authority of a project for the acquisition of control of the Bevicor cooperative by the Capel cooperative, formalized by a merger treaty dated May 18, 2010.</w:t>
      </w:r>
    </w:p>
    <w:p>
      <w:r>
        <w:t>Capel is an agricultural cooperative company specializing in animal production (cattle, sheep, pigs, goats, ducks for foie gras), as well as the production of fruits and vegetables. It brings together producers from several departments in the southwest (Dordogne, Lot-et-Garonne, Lot, Aveyron, Cantal, Corrèze, Tarn-et-Garonne). It holds 72% of the union of agricultural cooperatives La Quercynoise, specialized in the production of fattened ducks, as well as several subsidiaries responsible for agro-supply activities to third parties and the general public (SA Capel "4 Saisons" and SARL Agri Quercy Service).</w:t>
      </w:r>
    </w:p>
    <w:p>
      <w:r>
        <w:t>Bevicor is an agricultural cooperative company specializing in animal production (cattle, pigs, ducks). It is primarily active in the departments of Corrèze and Lot. Its subsidiary, the company Vie en Vert, is responsible for the group's agro-supply activity. It also holds a minority stake in Viandes de Corrèze, a company whose main purpose is the wholesale, semi-wholesale, and retail sale of meat, live cattle, charcuterie, and cured meats intended for human and animal consumption, and which operates with its subsidiary Sabcor, the Brive slaughterhouse.</w:t>
      </w:r>
    </w:p>
    <w:p>
      <w:r>
        <w:t>Point I of Article L. 430-2 of the Commercial Code states that a concentration is subject to the provisions of Articles L. 430-3 and following of the same code when the companies involved in the operation achieve a total worldwide turnover excluding tax exceeding 150 million euros, that at least two of the parties individually achieve in France a turnover excluding tax exceeding 50 million euros, and that the operation does not fall within the scope of Community law. Furthermore, Article 5 of Regulation (EC) No. 139/2004 on the control of concentrations specifies that "the total turnover of a concerned undertaking within the meaning of this regulation results from the sum of the turnovers: a) of the concerned undertaking; b) of the undertakings in which the concerned undertaking directly or indirectly: i) holds more than half of the capital or of the operating capital; ii) has the power to exercise more than half of the voting rights; iii) has the power to appoint more than half of the members of the supervisory board or of the management board or of the bodies legally representing the undertaking; iv) has the right to manage the affairs of the undertaking."</w:t>
      </w:r>
    </w:p>
    <w:p>
      <w:r>
        <w:t>In this case, the Capel cooperative achieves a turnover of 186 million euros in France. Regarding the Bevicor group, considering the decrease in its stake in the company Viandes de Corrèze and the additional information you provided following the submission of your notification file, it appears that the turnover to be taken into account for the application of the provisions recalled above is less than 50 million euros. Consequently, the notified operation does not concern at least two companies whose turnover achieved in France exceeds 50 million euros and is not subject to the concentration control provided for in Articles L. 430-3 and following of the Commercial Code.</w:t>
      </w:r>
    </w:p>
    <w:p>
      <w: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