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https://www.autoritedelaconcurrence.fr/fr/decision-de-controle-des-concentrations/relative-la-prise-de-controle-exclusif-de-la-holding-garage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12-DCC-44 of April 11, 2012  </w:t>
        <w:br/>
        <w:t xml:space="preserve">regarding the exclusive control acquisition of Holding Garage de l’Ouest  </w:t>
        <w:br/>
        <w:t xml:space="preserve">by Holding Midi Auto  </w:t>
        <w:br/>
        <w:t xml:space="preserve">The Competition Authority,  </w:t>
        <w:br/>
        <w:t xml:space="preserve">Having regard to the complete notification file submitted to the mergers department on March 16, 2012,  </w:t>
        <w:br/>
        <w:t xml:space="preserve">concerning the acquisition of Holding Garage de l’Ouest by Holding Midi Auto;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Holding Garage de l’Ouest,  </w:t>
        <w:br/>
        <w:t xml:space="preserve">operating four car dealerships in the departments of Eure (27) and Oise (60), by Holding Midi Auto, which itself operates car dealerships in the regions of Alpes-Côte d’Azur, Brittany, Centre, Midi-Pyrénées, and Limousin. It constitutes a concentration operation within the meaning of Article L. 430-1 of the Commercial Code. Given the turnover achieved by the companies concerned, the operation does not have a community dimension. On the other hand, the retail trade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12-034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