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https://www.autoritedelaconcurrence.fr/fr/decision-de-controle-des-concentrations/relative-la-prise-de-controle-exclusif-de-la-marque-carte</w:t>
      </w:r>
    </w:p>
    <w:p>
      <w:r>
        <w:t>Pages translated : 5</w:t>
      </w:r>
    </w:p>
    <w:p/>
    <w:p>
      <w:r>
        <w:rPr>
          <w:b/>
        </w:rPr>
        <w:t>[Pages 1–3]</w:t>
      </w:r>
    </w:p>
    <w:p>
      <w:r>
        <w:t>FRENCH REPUBLIC</w:t>
        <w:br/>
        <w:t>Decision No. 15-DCC-187 of December 28, 2015</w:t>
        <w:br/>
        <w:t>regarding the exclusive control of the Carte Noire brand and related assets by Lavazza</w:t>
        <w:br/>
        <w:t>The Competition Authority,</w:t>
        <w:br/>
        <w:t>Having regard to the notification file submitted in full to the merger service on November 26, 2015 regarding the exclusive control of the Carte Noire brand and certain related assets by Lavazza, formalized by a share and asset purchase agreement dated July 22, 2015;</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Lavazza, a public limited company under Italian law, is the parent company of the Lavazza group, owned and controlled by the Lavazza family. The group is active in the coffee roasting sector, coffee machines, and accessories related to coffee consumption. Lavazza also owns two coffee shop chains, Espression and Il Caffé di Roma, which it manages directly or through franchises. The group's products are primarily sold under the Lavazza brand in over 90 countries, including France through its subsidiaries Lavazza France and Lavazza Italy. In France, Lavazza products intended for domestic consumption include (i) coffee for traditional machines, in beans and ground, as well as (ii) coffee for portioned coffee machines: soft pods compatible with Senseo machines, hard pods for ESE machines, and capsules compatible with A modo mio machines.</w:t>
      </w:r>
    </w:p>
    <w:p>
      <w:r>
        <w:t>2. The target comprises the assets dedicated to the production, marketing, and sale of "Carte Noire" brand products for domestic consumption in France1 (coffee beans, roasted and ground coffee, soft pods, capsules compatible with Nespresso machines). In addition to the Carte Noire brand, the target includes a license for the manufacturing technology of Carte Noire capsules compatible with Nespresso machines, a production plant for Carte Noire products located in Lavérune, France2, the distribution rights for products from the Lavérune plant, as well as a stock of Carte Noire products. The target is currently owned by Koninklijke Douwe Egberts B.V. (hereinafter "KDE"), itself owned by Jacobs Douwe Egberts (hereinafter "JDE"), a joint venture between Demb and Mondelez. The creation of this joint venture was authorized by the European Commission3 on May 5, 2015, subject to the commitment to divest the Carte Noire brand and certain assets related to this brand4. Prior to the establishment of the JDE joint venture, the target assets were owned by Mondelez.</w:t>
        <w:br/>
        <w:t>3. The notified operation, formalized by the draft share and asset purchase agreement of July 22, 2015, and the decision of the European Commission of November 27, 2015 approving Lavazza as the acquirer of the target assets, provides for the acquisition by Lavazza of all shares and assets held by KDE.</w:t>
        <w:br/>
        <w:t>4. Insofar as it results in the exclusive control of the Carte Noire brand and related assets by Lavazza, the operation constitutes a concentration within the meaning of Article L. 430-1 of the Commercial Code.</w:t>
        <w:br/>
        <w:t>5. The concerned companies together achieve a total worldwide turnover excluding tax of more than 150 million euros (Lavazza: 1.3 billion euros for the fiscal year ending December 31, 2014; target assets: […] euros for the same fiscal year). Each of these companies has achieved a turnover in France exceeding 50 million euros (Lavazza: […] euros for the fiscal year ending December 31, 2014; target assets: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1 Products intended for out-of-home consumption, coffee capsules compatible with Tassimo machines, instant coffee, and products sold under the sub-brand "Velours Noir" are not included in the acquisition.</w:t>
        <w:br/>
        <w:t>2 Lavazza will be transferred four production lines dedicated to coffee for traditional machines (in beans and ground), one production line dedicated to capsules compatible with Nespresso machines, and three production lines dedicated to soft pods.</w:t>
        <w:br/>
        <w:t>3 See the decision of the European Commission M.7292 – Demb-Mondelez/Charger Opco of May 5, 2015.</w:t>
        <w:br/>
        <w:t>4 This operation is carried out within the framework of this commitment.</w:t>
      </w:r>
    </w:p>
    <w:p>
      <w:r>
        <w:t>II. Delimitation of Relevant Markets</w:t>
        <w:br/>
        <w:t>6. Both parties are active in the coffee marketing sector.</w:t>
        <w:br/>
        <w:t>1. PRODUCT MARKET</w:t>
        <w:br/>
        <w:t>7. Decision-making practice5 has identified several markets within the coffee marketing sector. The Commission has thus segmented the market based on the distribution channel, distinguishing between at-home coffee and out-of-home coffee. "At-home" coffee includes direct sales to consumers and sales through distributors. Out-of-home coffee includes sales to hotels, restaurants, cafes, as well as to offices, hospitals, educational institutions, and other workplaces.</w:t>
        <w:br/>
        <w:t>8. In this case, the parties are simultaneously present in the at-home coffee market. The European Commission has segmented this market based on the coffee format, distinguishing between single-serve coffee machines and traditional filter coffee machines. It follows that consumables for single-serve coffee machines and coffee intended for traditional filter coffee machines constitute two distinct markets.</w:t>
        <w:br/>
        <w:t>9. The market for consumables for single-serve coffee machines is segmented for each format of single-serve consumable compatible with a type of machine. In this case, the parties are simultaneously present in the market for soft pods compatible with Senseo machines.</w:t>
        <w:br/>
        <w:t>10. Regarding the market for coffee intended for traditional filter coffee machines, the Commission considered distinguishing between ground and roasted coffee and whole coffee beans, while leaving the question open. In this case, the activities of the parties overlap in these two segments.</w:t>
        <w:br/>
        <w:t>11. In this case, it is not necessary to rule on all of these delimitations, as the conclusions of the competitive analysis remain unchanged, regardless of the market definition retained.</w:t>
        <w:br/>
        <w:t>2. GEOGRAPHICAL MARKET</w:t>
        <w:br/>
        <w:t>12. Competition authorities generally consider that in the food sector, markets are of national dimension, taking into account consumer preferences, tastes, habits, and price differences. The European Commission has thus considered that the coffee marketing market is of national dimension6.</w:t>
        <w:br/>
        <w:t>13. There is no need to challenge the decision-making practice in the context of this operation. The analysis will therefore be conducted at the national level.</w:t>
        <w:br/>
        <w:t>5 See the aforementioned decision M.7292.</w:t>
        <w:br/>
        <w:t>6 Id.</w:t>
      </w:r>
    </w:p>
    <w:p>
      <w:r>
        <w:rPr>
          <w:b/>
        </w:rPr>
        <w:t>[Pages 4–5]</w:t>
      </w:r>
    </w:p>
    <w:p>
      <w:r>
        <w:t>III. Competitive Analysis</w:t>
        <w:br/>
        <w:t>14. In the overall home coffee market, the combined market share of the parties is estimated at [10-20]%, with the transaction resulting in a market share increase of [0-5]%.</w:t>
        <w:br/>
        <w:t>15. The market shares by value in the coffee marketing segments are shown in the table below.</w:t>
        <w:br/>
        <w:t>2014 Lavazza Carte Noire Combined</w:t>
        <w:br/>
        <w:t>Coffee for traditional filter coffee machines [0-5]% [20-30]% [20-30]%</w:t>
        <w:br/>
        <w:t>Roasted and ground coffee for traditional filter coffee machines [0-5]% [20-30]% [20-30]%</w:t>
        <w:br/>
        <w:t>Coffee beans for traditional filter coffee machines [5-10]% [10-20]% [20-30]%</w:t>
        <w:br/>
        <w:t>Soft pod market [0-5]% [10-20]% [10-20]%</w:t>
        <w:br/>
        <w:t>16. It follows that the market share of the new entity will exceed [20-30]% in the sole market of coffee for traditional filter coffee machines.</w:t>
        <w:br/>
        <w:t>17. In the overall market, the combined market share of the parties will be [20-30]%, with the transaction resulting in a market share increase of less than [0-5]%. The new entity will face competition from JDE, which will have a similar market share ([20-30]%), Segafredo ([0-5]%), and Legal ([0-5]%). The notifying party argues that JDE holds an extensive brand portfolio such as L’Or, Maison du Café, or Jacques Vabre, which have a strong reputation and lead to rapid development capabilities, due to its global leadership position in the coffee sector. It also notes that private label brands together represent [20-30]% of the market.</w:t>
        <w:br/>
        <w:t>18. In the segment of roasted and ground coffee for traditional coffee machines, the market share of the new entity will be [20-30]%, with the transaction resulting in a market share increase of less than [0-5]%. The new entity will continue to face competition from JDE, which will have a similar market share ([20-30]%), Segafredo ([0-5]%), Legal ([0-5]%), and Malongo ([0-5]%). Private label brands represent a significant share of the market ([20-30]%).</w:t>
        <w:br/>
        <w:t>19. In the segment of coffee beans for traditional coffee machines, the market share of the new entity will be [20-30]% (increase of [5-10]%) and the parties will continue to face competition from JDE ([10-20]%), Segafredo ([5-10]%), and private label brands ([20-30]%).</w:t>
        <w:br/>
        <w:t>20. The notifying party also considers that the main French distributors (Carrefour, Leclerc, Auchan, Casino) have significant purchasing power (approximately [20-30]% market share of retail sales each). It emphasizes that their negotiating power is strengthened by purchasing centers that negotiate general sales conditions for all their members.</w:t>
        <w:br/>
        <w:t>21. Consequently, the transaction is not likely to harm competition in the coffee marketing market.</w:t>
      </w:r>
    </w:p>
    <w:p>
      <w:r>
        <w:t>DECIDES</w:t>
        <w:br/>
        <w:t>Sole Article: The transaction notified under number 15-174 is authorized.</w:t>
        <w:b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