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https://www.autoritedelaconcurrence.fr/fr/decision-de-controle-des-concentrations/relative-la-prise-de-controle-exclusif-de-la-martiniere</w:t>
      </w:r>
    </w:p>
    <w:p>
      <w:r>
        <w:t>Pages translated : 15</w:t>
      </w:r>
    </w:p>
    <w:p/>
    <w:p>
      <w:r>
        <w:rPr>
          <w:b/>
        </w:rPr>
        <w:t>[Pages 1–3]</w:t>
      </w:r>
    </w:p>
    <w:p>
      <w:r>
        <w:t>FRENCH REPUBLIC</w:t>
        <w:br/>
        <w:t>Decision No. 17-DCC-208 of December 18, 2017</w:t>
        <w:br/>
        <w:t>regarding the exclusive control of La Martinière Groupe by</w:t>
        <w:br/>
        <w:t>Média-Participations</w:t>
        <w:br/>
        <w:t>The Competition Authority,</w:t>
        <w:br/>
        <w:t>Having regard to the notification file submitted in full to the merger service on</w:t>
        <w:br/>
        <w:t>November 13, 2017, regarding the exclusive control of La Martinière by</w:t>
        <w:br/>
        <w:t>Média-Participations, formalized by a letter of intent dated July 20, 2017;</w:t>
        <w:br/>
        <w:t>Having regard to Book IV of the Commercial Code relating to price freedom and competition, and</w:t>
        <w:br/>
        <w:t>notably its Articles L. 430-1 to L. 430-7;</w:t>
        <w:br/>
        <w:t>Having regard to the supplementary elements transmitted by the notifying party during the investigation;</w:t>
        <w:br/>
        <w:t>Adopts the following decision:</w:t>
        <w:br/>
        <w:t>I. The concerned companies and the operation</w:t>
        <w:br/>
        <w:t>A. THE CONCERNED COMPANIES</w:t>
        <w:br/>
        <w:t>1. Média-Participations, at the head of the Média-Participations group, is a limited partnership company under Belgian law, ultimately controlled by the family [X]1. The Média-Participations group is active in the sectors of publishing, audiovisual production, and press. Regarding publishing, the Média-Participations group is active in the following four businesses:</w:t>
        <w:br/>
        <w:t>- publishing, which encompasses all functions related to the publication of a book, through several publishing houses, notably Les Nouvelles Éditions Anne Carrière (general literature), Fleurus Éditions (children's books, illustrated books, practical books, and academic and professional books), Dargaud (children's books, illustrated books, and comics), Dargaud Lombard (comics), Dupuis (comics), Lucky Comics (comics), and Studio Boule et Bill (comics);</w:t>
        <w:br/>
        <w:t>- broadcasting, meaning the marketing, to retailers, of the works published by the group and by certain third-party publishers, in France, Switzerland, and Belgium, through the company Média Diffusion;</w:t>
        <w:br/>
        <w:t>- distribution, meaning the provision of logistical services necessary for the delivery of books to customers, in France, Switzerland, and Belgium, through the companies MDS and Dupuis Logistic Services;</w:t>
        <w:br/>
        <w:t>- retail book sales, through a specialized bookstore in Paris.</w:t>
        <w:br/>
        <w:t>2. La Martinière Groupe, at the head of the La Martinière group, is a public limited company registered in France, predominantly owned by the company Mousse [confidential]2. La Martinière Groupe is active in the following two publishing businesses:</w:t>
        <w:br/>
        <w:t>- publishing, through several publishing houses, including Les Éditions de la Martinière (general literature, children's books, illustrated books, and practical books), Seuil (general literature, paperbacks, children's books, illustrated books, comics, academic and professional books, and reference works), Métailié (general literature, paperbacks, and children's books), and Points (paperbacks);</w:t>
        <w:br/>
        <w:t>- distribution, through the company Eden Livres, jointly controlled with the company Madrigall, which operates a platform for the storage and distribution of digital books.</w:t>
        <w:br/>
        <w:t>B. THE OPERATION</w:t>
        <w:br/>
        <w:t>3. The operation, formalized by a letter of intent signed by Média-Participations and La Martinière Groupe on July 20, 2017, concerns the contribution of shares of La Martinière Groupe to Média-Participations. Insofar as it leads to the acquisition of exclusive control of the La Martinière group by Média-Participations, the operation constitutes a concentration operation within the meaning of Article L. 430-1 of the Commercial Code.</w:t>
        <w:br/>
        <w:t>4. The concerned companies together achieve a total worldwide turnover excluding taxes of more than 150 million euros (Média-Participations: 352.4 million euros for the fiscal year ending December 31, 2016; La Martinière Groupe: 205.9 million euros for the same fiscal year). Each of these companies has achieved a turnover in France exceeding 50 million euros (Média-Participations: […] euros for the fiscal year ending December 31, 2016; La Martinière Groupe: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The company Mousse does not hold shares that would confer control over another company active in the publishing sector.</w:t>
      </w:r>
    </w:p>
    <w:p>
      <w:r>
        <w:t>II. Delimitation of Relevant Markets</w:t>
        <w:br/>
        <w:t>5. The Média-Participations and La Martinière groups are active in the sectors of publishing (rights markets), broadcasting and distribution (broadcasting and distribution markets to publishers), and book sales (book sales markets).</w:t>
        <w:br/>
        <w:t>A. THE RIGHTS MARKETS</w:t>
        <w:br/>
        <w:t>1. THE PRODUCT MARKETS</w:t>
        <w:br/>
        <w:t>6. Upstream in the book chain, publishers compete to acquire intellectual property rights over the content of works, namely illustrations and especially narratives. European and national competition authorities have identified, on the one hand, the market for iconographic and cartographic reproduction rights, on which publishers are buyers of reproduction rights from numerous sources, such as museums, authors' societies, geographical or archival institutes, and, on the other hand, the market for publishing rights, on which publishers are buyers, from authors or other publishers, of publishing rights for books.</w:t>
        <w:br/>
        <w:t>7. Within the publishing rights market, the decision-making practice of competition authorities generally distinguishes between primary rights markets (for the first edition in French of a work) and secondary rights markets (for new editions in French of a work already published in French).</w:t>
        <w:br/>
        <w:t>a) The primary rights markets for publishing in French</w:t>
        <w:br/>
        <w:t>8. The publishing or original publishing contract is the contract by which the author assigns to a publisher the right to manufacture or have manufactured, for the first time, copies of the work, with the obligation to ensure its publication, broadcasting, and distribution. This contract between an author and a publisher specifies the extent of the rights transferred, as well as the remuneration of the author, namely the payment of royalties based on the number of copies sold and possibly advances.</w:t>
        <w:br/>
        <w:t>9. In the primary market for publishing rights in French, the decision-making practice of competition authorities has established a first distinction according to the original language of the work, identifying a market for publishing rights in French of an original work in French ("French rights market") and a market for publishing rights in French of an original work in a foreign language ("foreign rights market")4. Indeed, these two markets present different characteristics, notably in terms of:</w:t>
        <w:br/>
        <w:t xml:space="preserve">- identity of the actors: while, in the French rights market, publishers acquire directly, from Francophone authors, the right to publish their work for the first time, the foreign rights market involves, on the one hand, foreign publishers, </w:t>
        <w:br/>
        <w:t>3 See the decisions of the European Commission COMP/M.2978 Lagardère/Natexis/VUP of January 7, 2004, COMP/M.4611 Egmont/Bonnier of October 15, 2007, COMP/M.5838 Bertelsmann/Planeta/Circulo of July 5, 2010; see the letters from the minister dated March 22, 2004, to the board of the La Martinière group regarding a concentration in the publishing sector, dated May 30, 2006, to the board of the company Éditis; see the decision of the Competition Authority No. 12-DCC-126 of August 30, 2012, regarding the exclusive control of the Flammarion group by the Gallimard group.</w:t>
        <w:br/>
        <w:t>4 Ibid.</w:t>
      </w:r>
    </w:p>
    <w:p>
      <w:r>
        <w:rPr>
          <w:b/>
        </w:rPr>
        <w:t>[Pages 4–6]</w:t>
      </w:r>
    </w:p>
    <w:p>
      <w:r>
        <w:t>who have acquired all rights related to a work, including the right to translate it into another language, and French publishers wishing to translate and publish the foreign work in French, the latter having no contact with foreign authors;</w:t>
        <w:br/>
        <w:t>- nature and scope of the rights transferred: in the French rights market, the author generally assigns to the publisher all economic rights of adaptation, reproduction, and representation related to the work5, and exploitation rights, across all distribution channels, including translation rights, derivative publishing rights, paperback rights, club rights, etc. In contrast, for foreign rights, the French-speaking publisher has the right to exploit in a defined language, namely French, on defined distribution channels (generally traditional book distribution circuits), concerning defined exploitation formats (paper, digital), and including specific and variable clauses for direct sales or club sales; thus, the acquired foreign rights are more limited in nature;</w:t>
        <w:br/>
        <w:t>- duration of the acquired rights: French rights are assigned by authors to publishers for the duration of intellectual property (70 years after the author's death in France), whereas foreign rights are acquired only for a short duration (generally 5 to 10 years);</w:t>
        <w:br/>
        <w:t>- amount of advances paid: these are significantly higher for foreign rights than for French rights.</w:t>
        <w:br/>
        <w:t>10. Furthermore, the decision-making practice of competition authorities has established a distinction based on the category of books. Indeed, publishing rights only pertain to individual works, for which competition among publishing houses occurs, whereas for collective works, the acquisition of rights is rare6. Only general literature books, children's books, comics, and academic and professional works constitute individual works subject to rights acquisition. However, for these four categories of books:</w:t>
        <w:br/>
        <w:t>(i) the authors are not the same (for example, illustrators for comics and rather practitioners or professors for academic and professional works),</w:t>
        <w:br/>
        <w:t>(ii) publishing houses are generally specialized in a type of work, and</w:t>
        <w:br/>
        <w:t>(iii) the amounts of proportional remuneration and advances are generally not identical across categories of works (a ratio of 1 to 10 between the advance paid to an author of children's books and that paid to an author of general literature).</w:t>
        <w:br/>
        <w:t>11. The question of the existence of a distinct market for digital rights has also been left open7, a market test conducted by the European Commission having revealed, however, that in the vast majority of cases, digital rights and "paper" rights are acquired together by publishers and therefore belong to the same product market8.</w:t>
        <w:br/>
        <w:t>12. In this case, there is no reason to challenge the segmentation of primary French-language publishing rights markets.</w:t>
        <w:br/>
        <w:t>5 Except for audiovisual adaptation rights.</w:t>
        <w:br/>
        <w:t>6 It is rather a remuneration for work, in the traditional sense (lump-sum and definitive remuneration for all exploitation of the work).</w:t>
        <w:br/>
        <w:t>7 See the decision of the Competition Authority n° 12-DCC-126 of August 30, 2012, regarding the exclusive control of the Flammarion group by the Gallimard group, cited above.</w:t>
        <w:br/>
        <w:t>8 See the decision of the European Commission COMP/M.6789 Bertelsmann/Pearson/Penguin Random House of April 5, 2013.</w:t>
      </w:r>
    </w:p>
    <w:p>
      <w:r>
        <w:t>b) The secondary markets for French-language publishing rights</w:t>
        <w:br/>
        <w:t>13. Once the book has been published for the first time in French, it may be subject to new rights transfers for reissues, mainly according to two different modes:</w:t>
        <w:br/>
        <w:t>- reissues in paperback format: when a large-format book has experienced some success, its publisher may decide to exploit the rights in paperback format, either internally if it has a paperback collection, or by assigning its rights to a paperback publisher;</w:t>
        <w:br/>
        <w:t>- reissues in club format: in this case, publishers of a large-format work assign to book clubs the rights to manufacture or have it manufactured, publish, and distribute it at a distance, by mail, brokerage, or subscription, with limited exclusivity in time; in return, the book club pays the large-format publisher club marketing rights with a guaranteed minimum.</w:t>
        <w:br/>
        <w:t>14. The decision-making practice has considered that the secondary market for publishing rights should be segmented according to these two reissue formats, given the existence of notable differences between them, particularly in terms of:</w:t>
        <w:br/>
        <w:t>(i) scope of distribution (limited distribution to a predetermined audience of club members compared to the wide distribution to the general public of a paperback collection),</w:t>
        <w:br/>
        <w:t>(ii) amounts of royalties, or</w:t>
        <w:br/>
        <w:t>(iii) identity of the actors.</w:t>
        <w:br/>
        <w:t>15. In this case, there is no reason to challenge the segmentation of secondary markets for French-language publishing rights.</w:t>
        <w:br/>
        <w:t>2. GEOGRAPHICAL MARKETS</w:t>
        <w:br/>
        <w:t>16. The decision-making practice of competition authorities has considered that the various publishing rights markets are of a global dimension9. Regarding the primary markets for publishing rights in French of an original work in French, they noted that publishers do not pay attention to the nationality of the author when selecting a work, the criterion being essentially linguistic, and that the acquisition of publishing rights for works in French by publishers covers all rights in French, without restriction by country. Regarding other publishing rights markets, it has been noted that French-speaking publishers from different countries compete for the acquisition of publishing rights in French and that the transfers of each category of rights generally cover all rights in French, without restriction by country.</w:t>
        <w:br/>
        <w:t>17. In this case, there is no reason to challenge the global dimension of these markets.</w:t>
        <w:br/>
        <w:t>9 See decisions COMP/M.2978, COMP/M.4611, and n° 12-DCC-126, and letters from the minister dated March 22, 2004, and May 30, 2006, cited above.</w:t>
      </w:r>
    </w:p>
    <w:p>
      <w:r>
        <w:t>B. BROADCASTING AND DISTRIBUTION SERVICES MARKETS</w:t>
        <w:br/>
        <w:t>1. SERVICE MARKETS</w:t>
        <w:br/>
        <w:t>a) Broadcasting service markets</w:t>
        <w:br/>
        <w:t>18. Broadcasting primarily involves marketing publishers' works to different categories of book retailers through visits by representatives responsible for presenting upcoming books and promoting their sale.</w:t>
        <w:br/>
        <w:t>19. Competition authorities have segmented the broadcasting service market according to the category of retailers, distinguishing:</w:t>
        <w:br/>
        <w:t>(i) level 1 bookstores (large bookstores and large specialized book retail outlets) and level 2 (neighborhood bookstores),</w:t>
        <w:br/>
        <w:t>(ii) hypermarkets, and</w:t>
        <w:br/>
        <w:t>(iii) wholesalers, the latter being responsible for the marketing of books to non-specialized retailers in books ("level 3 retailers"), such as supermarkets, press distributors, gas stations, etc.10</w:t>
        <w:br/>
        <w:t>20. This segmentation is justified by the existence of notable differences in the functioning of broadcasting according to the category of retailers (different services depending on the type of retailers, variations in broadcasting costs, organization of broadcasting companies by level of retailers, categories of books distributed varying according to the distribution channel).</w:t>
        <w:br/>
        <w:t>21. The notifying party suggests retaining a fourth segment within the broadcasting services market for online retailers (or "e-retailers"). According to it, these should be distinguished from physical retailers, on the grounds that broadcasters offer them specific services to meet their need for comprehensiveness.</w:t>
        <w:br/>
        <w:t>22. The Authority has left open the question of the existence of such a segment11.</w:t>
        <w:br/>
        <w:t>23. The question of the existence of a distinct market for the broadcasting of digital books has also been left open12.</w:t>
        <w:br/>
        <w:t>24. The question of the exact delineation of broadcasting service markets can be left open, the conclusions of the competitive analysis remaining unchanged, regardless of the segmentation retained.</w:t>
        <w:br/>
        <w:t>b) Distribution service markets</w:t>
        <w:br/>
        <w:t>25. Distribution encompasses all logistical operations related to the supply of books to customers, from ordering to invoicing, including the management of returns.</w:t>
      </w:r>
    </w:p>
    <w:p>
      <w:r>
        <w:rPr>
          <w:b/>
        </w:rPr>
        <w:t>[Pages 7–9]</w:t>
      </w:r>
    </w:p>
    <w:p>
      <w:r>
        <w:t xml:space="preserve">26. The competition authorities have determined that the distribution services market should not be segmented, either by level of retailers or by type of works distributed, as the logistical services are relatively uniform13.  </w:t>
        <w:br/>
        <w:t xml:space="preserve">27. The notifying party considers that a market for digital book distribution services could be distinguished, particularly due to specific constraints in terms of storage methods, distribution logistics, management of references and flows, databases, and protections.  </w:t>
        <w:br/>
        <w:t xml:space="preserve">28. However, the question of the exact delineation of distribution services markets can be left open, as the conclusions of the competitive analysis remain unchanged, regardless of the segmentation adopted.  </w:t>
        <w:br/>
        <w:t xml:space="preserve">2. GEOGRAPHICAL MARKETS  </w:t>
        <w:br/>
        <w:t xml:space="preserve">29. The competition authorities have considered that the markets for broadcasting and distribution services have a dimension corresponding to the French-speaking area of the European Union (France, French-speaking Belgium, and Luxembourg), with the question of including Romandy in the market left open14.  </w:t>
        <w:br/>
        <w:t xml:space="preserve">30. The notifying party believes that Romandy should not be included in these markets, as the distribution and dissemination networks used, as well as the offer and market conditions, are different.  </w:t>
        <w:br/>
        <w:t xml:space="preserve">31. However, the question of the exact delineation of this market can be left open, as the conclusions of the competitive analysis remain unchanged, regardless of the segmentation adopted.  </w:t>
        <w:br/>
        <w:t xml:space="preserve">C. BOOK SALES MARKETS  </w:t>
        <w:br/>
        <w:t xml:space="preserve">1. SERVICE MARKETS  </w:t>
        <w:br/>
        <w:t xml:space="preserve">32. Works are subject to an initial sale, upstream, between publishers and retailers (bookstores, hypermarkets, etc.), with the latter being compensated by the discount granted by publishers on the final sale price, followed by a second sale, downstream, between these retailers and consumers (the readers).  </w:t>
        <w:br/>
        <w:t xml:space="preserve">a) The markets for the sale of books by publishers to retailers  </w:t>
        <w:br/>
        <w:t xml:space="preserve">33. Even though the marketing and distribution of books often occur through intermediaries, the distributors, this does not mean that publishers lose control over the commercial conditions offered to retailers. On the contrary, publishers retain the ability to continuously modify the general conditions established by their distributor, particularly the conditions governing discounts to retailers. This market is thus characterized by the meeting of an offer constituted by publishers and a demand emanating from retailers.  </w:t>
        <w:br/>
        <w:t xml:space="preserve">13 See all the aforementioned decisions.  </w:t>
        <w:br/>
        <w:t xml:space="preserve">14 Ibid.  </w:t>
        <w:br/>
        <w:t xml:space="preserve">7  </w:t>
        <w:br/>
        <w:t xml:space="preserve">34. The competition authorities believe that, from both the supply and demand perspectives, a segmentation of the market for the sale of books by publishers to retailers, according to types of retailers, should be made15. Indeed, there are differences among the three types of retailers (bookstores, hypermarkets, and wholesalers):  </w:t>
        <w:br/>
        <w:t xml:space="preserve">(i) in terms of turnover generated by type of retailer,  </w:t>
        <w:br/>
        <w:t xml:space="preserve">(ii) in terms of sales conditions and levels of discounts, depending on the category of retailers, and  </w:t>
        <w:br/>
        <w:t xml:space="preserve">(iii) due to specific barriers to access to hypermarkets and wholesalers compared to bookstores (thus, to be referenced by the purchasing centers of hypermarkets, a publisher must have a certain notoriety, with the number of referenced publishers being limited).  </w:t>
        <w:br/>
        <w:t xml:space="preserve">35. The notifying party considers that the sale of books by publishers to online retailers could constitute a distinct market segment, due to the particularities it presents in terms of data management, order and stock tracking, accessibility, and ongoing renewal.  </w:t>
        <w:br/>
        <w:t xml:space="preserve">36. Finally, the competition authorities consider that the sale of books by publishers to retailers should be segmented according to major categories of books, given the differences in the level of discounts granted to retailers, the presence of publishers specialized in certain categories of books, different production and print conditions, and the specialization of certain retailers in specific categories of works. The following categories have been retained: (i) general literature books (category subdivided into large format and paperback), (ii) children's books, (iii) art books, (iv) practical books, (v) comic books, (vi) educational books, category subdivided into school books and extracurricular books, (vii) university and professional books, (viii) reference works, category subdivided into several segments, and (ix) booklets16.  </w:t>
        <w:br/>
        <w:t xml:space="preserve">37. The notifying party considers that the sale of digital books could constitute a distinct market segment, due to the logistical and distribution constraints specific to this type of book. However, the competition authorities have left open the question of the existence of a segmentation of the digital book sales market17.  </w:t>
        <w:br/>
        <w:t xml:space="preserve">38. The question of the exact delineation of the markets for the sale of books by publishers to retailers can, however, be left open, as the conclusions of the competitive analysis remain unchanged, regardless of the segmentation adopted.  </w:t>
        <w:br/>
        <w:t xml:space="preserve">15 See the aforementioned decisions.  </w:t>
        <w:br/>
        <w:t xml:space="preserve">16 Ibid.  </w:t>
        <w:br/>
        <w:t xml:space="preserve">17 See decisions COMP/M.2978 and n° 12-DCC-126 aforementioned.  </w:t>
        <w:br/>
        <w:t xml:space="preserve">8  </w:t>
        <w:br/>
        <w:t xml:space="preserve">b) The markets for the sale of books to the final consumer  </w:t>
        <w:br/>
        <w:t xml:space="preserve">39. The European Commission has distinguished the markets for the sale of books (i) in discount stores, (ii) by brokerage (notably for "heavy" reference works), (iii) at a distance (internet sales, mail-order sales, or club sales), and (iv) in retail stores (all types of stores combined)18.  </w:t>
        <w:br/>
        <w:t xml:space="preserve">40. However, it has considered a single market for the sale of books to the final consumer, including both in-store sales and distance sales19.  </w:t>
        <w:br/>
        <w:t xml:space="preserve">41. Furthermore, the Authority has also questioned the existence of a market for the sale of digital books20.  </w:t>
        <w:br/>
        <w:t xml:space="preserve">42. The question of the exact delineation of the markets for the sale of books to the final consumer can, however, be left open, as the conclusions of the competitive analysis remain unchanged, regardless of the segmentation adopted.  </w:t>
        <w:br/>
        <w:t xml:space="preserve">2. GEOGRAPHICAL MARKETS  </w:t>
        <w:br/>
        <w:t xml:space="preserve">43. Regarding the markets for the sale of books by publishers to retailers21 and the sale of books by wholesalers to level 3 retailers, the competition authorities have retained a supranational dimension covering at least the French-speaking area of the European Union, with the possible inclusion of Romandy22.  </w:t>
        <w:br/>
        <w:t xml:space="preserve">44. Regarding the markets for the sale of books to the final consumer, they are of a national dimension when books are sold at a distance, or local when sold through physical points of sale. However, the strategies and positions of the various actors are generally taken into account on a national level23.  </w:t>
        <w:br/>
        <w:t xml:space="preserve">18 See decisions COMP/M.2978 and n° 12-DCC-126 aforementioned.  </w:t>
        <w:br/>
        <w:t xml:space="preserve">19 See decisions COMP/M.2978, COMP/M.4611, and COMP/M.5838 aforementioned.  </w:t>
        <w:br/>
        <w:t xml:space="preserve">20 See decision n° 12-DCC-126 aforementioned.  </w:t>
        <w:br/>
        <w:t xml:space="preserve">21 Excluding the markets for the sale of school books and university and professional books, for which a national definition has been retained by decision-making practice.  </w:t>
        <w:br/>
        <w:t xml:space="preserve">22 See all the aforementioned decisions.  </w:t>
        <w:br/>
        <w:t xml:space="preserve">23 See decision n° 12-DCC-126 aforementioned.  </w:t>
        <w:br/>
        <w:t>9</w:t>
      </w:r>
    </w:p>
    <w:p>
      <w:r>
        <w:rPr>
          <w:b/>
        </w:rPr>
        <w:t>[Pages 10–12]</w:t>
      </w:r>
    </w:p>
    <w:p>
      <w:r>
        <w:t>III. Competitive Analysis</w:t>
        <w:br/>
        <w:t>A. ANALYSIS OF HORIZONTAL EFFECTS</w:t>
        <w:br/>
        <w:t>1. THE MARKETS FOR THE ACQUISITION OF RIGHTS</w:t>
        <w:br/>
        <w:t>a) The market for iconographic and cartographic reproduction rights</w:t>
        <w:br/>
        <w:t>45. Média-Participations and La Martinière spent respectively […] euros and […] euros in 2016 for the acquisition of iconographic and cartographic reproduction rights. The parties estimate that their combined market share is below [0-5] % at a global level.</w:t>
        <w:br/>
        <w:t>46. Consequently, the operation does not raise serious doubts about harm to competition in the market for iconographic and cartographic reproduction rights.</w:t>
        <w:br/>
        <w:t>b) The publishing rights markets</w:t>
        <w:br/>
        <w:t>i. The primary markets for the acquisition of rights</w:t>
        <w:br/>
        <w:t>47. The estimation of market shares of publishing houses in the primary markets for the acquisition of rights, according to decision-making practice, can be based on the total amount of advances paid by publishing houses to the authors of the 100 best-selling books in France for each market segment. It is also possible to base it on the number of books published by each publisher in the best-seller list by categories of books in France24.</w:t>
        <w:br/>
        <w:t>48. The notifying party relied on this second method to estimate the position of the parties and their competitors in the various market segments for the acquisition of primary publishing rights in 201625.</w:t>
        <w:br/>
        <w:t>49. According to the estimates of the notifying party, the market shares of the parties and their main competitors in 2016 are as follows:</w:t>
        <w:br/>
        <w:t>24 In its decision COMP/M.6789 of April 5, 2013 Bertelsmann/Pearson/Penguin Random House, the European Commission considered a third method, consisting of considering that the market shares of publishers in the markets for the sale of books to retailers constituted a relevant indicator of their position in the markets for the acquisition of publishing rights.</w:t>
        <w:br/>
        <w:t>25 Source: best-seller ranking established by Livre Hebdo in its issue n° 1113 of January 20, 2017, and, regarding comic books, the Top 300 Comic Books 2016 ranking established by GfK.</w:t>
      </w:r>
    </w:p>
    <w:p>
      <w:r>
        <w:t>The primary markets for French and foreign rights of general literature</w:t>
        <w:br/>
        <w:t>General literature</w:t>
        <w:br/>
        <w:t>General literature</w:t>
        <w:br/>
        <w:t>Translated foreign version in</w:t>
        <w:br/>
        <w:t>Original French version</w:t>
        <w:br/>
        <w:t>French language</w:t>
        <w:br/>
        <w:t>Média-Participations - -</w:t>
        <w:br/>
        <w:t>La Martinière [0-5] % [5-10] %</w:t>
        <w:br/>
        <w:t>New entity [0-5] % [5-10] %</w:t>
        <w:br/>
        <w:t>Hachette [10-20] % [10-20] %</w:t>
        <w:br/>
        <w:t>Éditis [20-30] % [20-30] %</w:t>
        <w:br/>
        <w:t>Madrigall [10-20] % [10-20] %</w:t>
        <w:br/>
        <w:t>The primary markets for French and foreign rights of children's books</w:t>
        <w:br/>
        <w:t>Children's books</w:t>
        <w:br/>
        <w:t>Children's books</w:t>
        <w:br/>
        <w:t>Translated foreign version in</w:t>
        <w:br/>
        <w:t>Original French version</w:t>
        <w:br/>
        <w:t>French language</w:t>
        <w:br/>
        <w:t>Média-Participations [0-5] % -</w:t>
        <w:br/>
        <w:t>La Martinière - [10-20] %</w:t>
        <w:br/>
        <w:t>New entity [0-5] % [10-20] %</w:t>
        <w:br/>
        <w:t>Hachette [10-20] % [20-30] %</w:t>
        <w:br/>
        <w:t>Éditis [30-40] % [30-40] %</w:t>
        <w:br/>
        <w:t>Madrigall [5-10] % [0-5] %</w:t>
        <w:br/>
        <w:t>The primary markets for French and foreign rights of comic books</w:t>
        <w:br/>
        <w:t>Comic books</w:t>
        <w:br/>
        <w:t>Comic books</w:t>
        <w:br/>
        <w:t>Translated foreign version in</w:t>
        <w:br/>
        <w:t>Original French version</w:t>
        <w:br/>
        <w:t>French language</w:t>
        <w:br/>
        <w:t>Média-Participations [30-40] % [20-30] %</w:t>
        <w:br/>
        <w:t>La Martinière [0-5] % -</w:t>
        <w:br/>
        <w:t>New entity [30-40] % [20-30] %</w:t>
        <w:br/>
        <w:t>Hachette [5-10] % [20-30] %</w:t>
        <w:br/>
        <w:t>Éditis - [5-10] %</w:t>
        <w:br/>
        <w:t>Madrigall [10-20] % -</w:t>
        <w:br/>
        <w:t>Delcourt [20-30] % [5-10] %</w:t>
        <w:br/>
        <w:t>Glénat [5-10] % [20-30] %</w:t>
        <w:br/>
        <w:t>50. According to the estimates of the notifying party, the new entity will hold a market share of less than [0-5] % in the markets for the acquisition of publishing rights for university and professional books.</w:t>
        <w:br/>
        <w:t>51. It follows from these elements that, with the exception of the segment for French rights of comic books, in none of the segments of the market for the acquisition of primary publishing rights will the new entity have a market share exceeding [20-30] %. The new entity will continue, following the operation, to face competition from the main publishing groups in France, Hachette, Éditis, and Gallimard, in each of the primary rights market segments.</w:t>
        <w:br/>
        <w:t>52. In the segment for French rights of comic books, the market share of the new entity will reach [30-40] % following the operation, with an increment of less than [0-5] %. In this segment, the new entity will face competition from independent publishing groups of French-speaking comic books, such as Delcourt and Glénat.</w:t>
        <w:br/>
        <w:t>53. Consequently, the operation does not raise serious doubts about harm to competition in the markets for the acquisition of primary rights.</w:t>
      </w:r>
    </w:p>
    <w:p>
      <w:r>
        <w:t>ii. The secondary markets for the acquisition of rights</w:t>
        <w:br/>
        <w:t>54. In the secondary markets for pocket edition publishing rights ("pocket rights market") where pocket publishers acquire rights from large format publishers, only La Martinière is active, through its Points house. In 2016, the amount of rights acquired by the La Martinière group from third-party publishers for reissues in pocket format amounted to […] euros. According to the notifying party, La Martinière holds [0-5] % of the market shares in the pocket rights market.</w:t>
        <w:br/>
        <w:t>55. In the secondary market for publishing rights in book clubs, Média-Participations and La Martinière operate exclusively as sellers. In 2016, the amount of rights transferred for a club reissue amounted to […] euros for the Média-Participations group and […] euros for the La Martinière group, which constitutes a very limited share of the market.</w:t>
        <w:br/>
        <w:t>56. Consequently, the operation does not raise serious doubts about harm to competition in the secondary markets for the acquisition of rights.</w:t>
        <w:br/>
        <w:t>2. THE MARKETS FOR BROADCASTING AND DISTRIBUTION SERVICES</w:t>
        <w:br/>
        <w:t>57. Regarding the markets for broadcasting and distribution services, the parties to the operation are simultaneously active exclusively in the distribution markets.</w:t>
        <w:br/>
        <w:t>58. Média-Participations is active in the distribution of paper books through its subsidiaries MDS and DLS, which ensure the distribution of the group's publishers as well as third-party houses.</w:t>
        <w:br/>
        <w:t>59. La Martinière has not had any activity in the distribution of paper books within the scope of the French-speaking area of the European Union since 2015, but is active in the distribution of digital books through the Eden Livres structure.</w:t>
        <w:br/>
        <w:t>60. In the market for distribution services, the combined market share of the parties will be well below [20-30] %, and the operation will not result in any overlap of activities. Furthermore, the new entity will face competitive pressure from the main vertically integrated operators, Hachette, Éditis, and Madrigall.</w:t>
        <w:br/>
        <w:t>61. Consequently, the operation does not raise serious doubts about harm to competition in the markets for distribution services.</w:t>
        <w:br/>
        <w:t>3. THE MARKETS FOR THE SALE OF BOOKS</w:t>
        <w:br/>
        <w:t>62. In these markets, the activities of the parties overlap exclusively in the markets for the sale of books by publishers to retailers.</w:t>
        <w:br/>
        <w:t>63. To estimate the market shares of the new entity and its competitors in the markets for the sale of books by publishers to retailers, the notifying party relied on the 2016 edition of the SNE study presenting the net sales figures after discounts made by publishing houses to retailers, by categories of books. The market shares thus calculated for each market segment are indicated below:</w:t>
      </w:r>
    </w:p>
    <w:p>
      <w:r>
        <w:rPr>
          <w:b/>
        </w:rPr>
        <w:t>[Pages 13–15]</w:t>
      </w:r>
    </w:p>
    <w:p>
      <w:r>
        <w:t>The markets for the sale of books by publishers to level 1 and 2 retailers</w:t>
        <w:br/>
        <w:t>Beautiful Books</w:t>
        <w:br/>
        <w:t>Bookstore (1&amp;2) Youth Comics</w:t>
        <w:br/>
        <w:t>practical books</w:t>
        <w:br/>
        <w:t>Média-Participations [5-10] % [5-10] % [5-10] % [30-40] %</w:t>
        <w:br/>
        <w:t>La Martinière [0-5] % [5-10] % [0-5] % [0-5] %</w:t>
        <w:br/>
        <w:t>New entity [5-10] % [10-20] % [5-10] % [30-40] %</w:t>
        <w:br/>
        <w:t>Hachette [15-25] % [15-25] % [30-40] % [5-10] %</w:t>
        <w:br/>
        <w:t>Éditis [15-25] % [45-55] % [20-30] % [0-5] %</w:t>
        <w:br/>
        <w:t>Madrigall [15-25] % [20-30] % [5-10] % [5-10] %</w:t>
        <w:br/>
        <w:t>Albin Michel [0-5] % [0-5] % [0-5] % [0-5] %</w:t>
        <w:br/>
        <w:t>Delcourt - - - [15-25] %</w:t>
        <w:br/>
        <w:t>The markets for the sale of books by publishers to wholesalers</w:t>
        <w:br/>
        <w:t>Beautiful Books</w:t>
        <w:br/>
        <w:t>Wholesalers Youth Comics</w:t>
        <w:br/>
        <w:t>practical books</w:t>
        <w:br/>
        <w:t>Média-Participations [5-10] % [0-5] % [5-10] % [30-40] %</w:t>
        <w:br/>
        <w:t>La Martinière [10-20] % [10-20] % [5-10] % [0-5] %</w:t>
        <w:br/>
        <w:t>New entity [20-30] % [10-20] % [10-20] % [30-40] %</w:t>
        <w:br/>
        <w:t>Hachette [10-20] % [10-20] % [20-30] % [0-5] %</w:t>
        <w:br/>
        <w:t>Éditis [10-20] % [60-70] % [5-10] % [0-5] %</w:t>
        <w:br/>
        <w:t>Madrigall [10-20] % [0-5] % [0-5] % [5-10] %</w:t>
        <w:br/>
        <w:t>Albin Michel [0-5] % [0-5] % [0-5] % -</w:t>
        <w:br/>
        <w:t>Delcourt - - - [15-25] %</w:t>
        <w:br/>
        <w:t>The markets for the sale of books by publishers to hypermarkets</w:t>
        <w:br/>
        <w:t>Beautiful Books</w:t>
        <w:br/>
        <w:t>Hypermarkets Youth Comics</w:t>
        <w:br/>
        <w:t>practical books</w:t>
        <w:br/>
        <w:t>Média-Participations [5-10] % [5-10] % [5-10] % [30-40] %</w:t>
        <w:br/>
        <w:t>La Martinière [0-5] % [0-5] % [0-5] % [0-5] %</w:t>
        <w:br/>
        <w:t>New entity [5-10] % [10-20] % [5-10] % [30-40] %</w:t>
        <w:br/>
        <w:t>Hachette [30-40] % [10-20] % [40-50] % [10-20] %</w:t>
        <w:br/>
        <w:t>Éditis [15-25] % [60-70] % [10-20] % [0-5] %</w:t>
        <w:br/>
        <w:t>Madrigall [5-10] % [10-20] % [0-5] % [0-5] %</w:t>
        <w:br/>
        <w:t>Albin Michel [0-5]% [0-5] % [0-5] % [0-5] %</w:t>
        <w:br/>
        <w:t>Delcourt - - - [15-25] %</w:t>
        <w:br/>
        <w:t>64. On the other segmentations of the markets for the sale of books to retailers, the cumulative market share of the parties is less than 10 %26.</w:t>
        <w:br/>
        <w:t>65. Thus, with the exception of the markets for the sale of comics, the new entity will hold market shares below [20-30] % across all considered segments. Furthermore, it will face competitive pressure from the three main publishing groups in France, Hachette, Éditis, and Madrigall, as well as various specialized players.</w:t>
        <w:br/>
        <w:t>66. Regarding the sale of comics, the increment in market share resulting from the operation will be marginal (less than one point). The new entity will also face competition from independent French-speaking comic publishing groups, notably Delcourt, in each of the considered segments.</w:t>
        <w:br/>
        <w:t>26 Except for the market segment for the sale of academic and professional books by publishers to wholesalers, for which the cumulative market share of the parties is [10-20] %.</w:t>
        <w:br/>
        <w:t>67. Therefore, the operation does not raise serious doubts about harming competition in the markets for the sale of books by publishers to retailers.</w:t>
        <w:br/>
        <w:t>B. ANALYSIS OF VERTICAL EFFECTS</w:t>
        <w:br/>
        <w:t>68.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holds that a risk of vertical effect can generally be ruled out as long as the market share of the entity resulting from the operation in the relevant markets does not exceed 30 %.</w:t>
        <w:br/>
        <w:t>69. As stated in the previous section, the market shares of the new entity are above 30 % in the market for acquiring French rights to comics and in the markets for selling comics to retailers.</w:t>
        <w:br/>
        <w:t>70. However, the risk of vertical effect can be ruled out due to the low share of Média-Participations' needs in book distribution that can be covered by La Martinière, through the Eden Livres structure, which is only active in the distribution of digital books to online retailers. Moreover, the new entity will face competition from independent French-speaking comic publishing groups, such as Delcourt and Glénat, in the market for acquiring French rights to comics and in the markets for selling comics to retailers.</w:t>
        <w:br/>
        <w:t>71. Therefore, the operation does not raise serious doubts about harming competition through vertical effects.</w:t>
        <w:br/>
        <w:t>C. ANALYSIS OF CONGLOMERATE EFFECTS</w:t>
        <w:br/>
        <w:t>72. A concentration has conglomerate effects when the new entity extends or strengthens its presence in several markets whose connectivity may allow it to increase its market power. Generally, such effects are analyzed when a concentration operation extends or strengthens the presence of a new entity in several distinct but related markets. These effects can also be analyzed when the strengthening of a new entity's position occurs in the same market, but it is a market of sufficiently differentiated products so that, on the one hand, a leveraging effect can be exercised from one of them and, on the other hand, the same customers regularly purchase more than one product within this product range. While conglomerate concentrations can generally create pro-competitive synergies, some may still produce restrictive competition effects when they allow for the technical or commercial tying of the sales or purchases of the components of the grouping in a way that locks the market and excludes competitors.</w:t>
        <w:br/>
        <w:t>73. The decision-making practice of competition authorities generally holds that a risk of conglomerate effect can be ruled out as long as the share of the entity resulting from the operation in the relevant markets does not exceed 30 %.</w:t>
        <w:br/>
        <w:t>74. As stated in the previous section, the market shares of the new entity are above 30 % in the market for acquiring French rights to comics and in the markets for selling comics to retailers.</w:t>
        <w:br/>
        <w:t>75. In this case, the risk of conglomerate effect can be ruled out due to the lack of complementarity between the different categories of works offered by the publishing houses comprising the portfolio of the new entity. Furthermore, the new entity will have to face competition from the three main vertically integrated publishing groups in France, Hachette, Éditis, and Madrigall, which hold positions superior to its own and are present in all market segments in which the new entity will be active.</w:t>
        <w:br/>
        <w:t>76. Therefore, the operation does not raise serious doubts about harming competition through conglomerate effects.</w:t>
        <w:br/>
        <w:t>DECIDES</w:t>
        <w:br/>
        <w:t>Sole Article: The operation notified under number 17-210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