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https://www.autoritedelaconcurrence.fr/fr/decision-de-controle-des-concentrations/relative-la-prise-de-controle-exclusif-de-la-mutuelle-mieux</w:t>
      </w:r>
    </w:p>
    <w:p>
      <w:r>
        <w:t>Pages translated : 4</w:t>
      </w:r>
    </w:p>
    <w:p/>
    <w:p>
      <w:r>
        <w:rPr>
          <w:b/>
        </w:rPr>
        <w:t>[Pages 1–3]</w:t>
      </w:r>
    </w:p>
    <w:p>
      <w:r>
        <w:t xml:space="preserve">FRENCH REPUBLIC  </w:t>
        <w:br/>
        <w:t xml:space="preserve">Decision No. 17-DCC-98 of June 28, 2017  </w:t>
        <w:br/>
        <w:t xml:space="preserve">regarding the exclusive control of the Mutuelle Mieux-Être by  </w:t>
        <w:br/>
        <w:t>the Pro-BTP group</w:t>
      </w:r>
    </w:p>
    <w:p>
      <w:r>
        <w:t xml:space="preserve">The Competition Authority,  </w:t>
        <w:br/>
        <w:t xml:space="preserve">Having regard to the notification file sent to the concentrations service on March 16, 2017, and declared complete on May 22, 2017, regarding the exclusive control of the Mutuelle Mieux-Être by the Pro-BTP group, formalized by a partnership agreement dated December 20, 2012;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Pro-BTP is a parity social protection group endowed with a means association, as well as various entities engaged on the one hand in competitive activities in the field of personal insurance, including Pro-BTP prévoyance, and on the other hand in non-competitive activities of managing mandatory retirement, through two complementary retirement institutions (BTP-Retraite for Arcco and CNRBTPIG for Agirc). The Pro-BTP group (hereinafter, "Pro-BTP") is endowed with a summit association, Pro-BTP, a unique governance structure of the GPS that defines its political and strategic orientations, as well as a means association linked with each of the group's entities by an operational agreement.  </w:t>
        <w:br/>
        <w:t>1 Parity social protection groups ("GPS") are structured sets of legal entities that have close and lasting ties, created, managed, and controlled by employer organizations and unions (the "social partners"). The GPS includes at least one AGIRC retirement institution, one ARRCO retirement institution, and one provident institution, in the interest of companies and employees (the "one-stop shop" formula). It consists of a summit association "law 1901" that is managed jointly and conducts the overall strategy of the GPS. A general director and a means association complete the system.</w:t>
      </w:r>
    </w:p>
    <w:p>
      <w:r>
        <w:t xml:space="preserve">2. The Mutuelle Mieux-Être (hereinafter, "MME") is a mutual insurance company governed by the provisions of Book II of the Code of Mutuality, which is approved under branches 1 (accidents), 2 (illness), 20 (life-death), and 21 (birth/marriage). It distributes its products through a salaried commercial network, independent brokers, and its insurance brokerage subsidiary. MME operates in the sectors of health insurance and provident insurance (individual and collective), as well as funeral services.  </w:t>
        <w:br/>
        <w:t xml:space="preserve">3. The partnership agreement concluded between MME and BTP-Prévoyance provides for the integration of MME into the health division of the Pro-BTP group in order to benefit from its financial, commercial, and technical support, conditioned on a change in MME's governance in favor of Pro-BTP, with the majority of the members of MME's board of directors needing to be approved by Pro-BTP. Ms. Stéphane Varda has been appointed as the general director of MME, and a new board of directors has been elected, with the majority of its members, as well as the general director, approved by Pro-BTP. A reinsurance treaty covering 100% of MME's risks has been concluded with BTP-Prévoyance. The reinsurance decisions as well as the financial management of investments are subject to Pro-BTP. An operational agreement has also been concluded between MME and the summit association Pro BTP, the unique governance structure of the Pro BTP group that has the power to define the political and strategic orientations of the Pro-BTP group. An accounting combination agreement of MME within the scope of Pro-BTP was also signed on December 26, 2012. Finally, the partnership agreement provides for the establishment of significant and lasting financial solidarity links. It was concluded for a renewable duration of ten years and follows a safeguard plan developed by MME, inseparable from the partnership signed between MME and Pro-BTP, and approved by the Prudential Control and Resolution Authority on June 4, 2012.  </w:t>
        <w:br/>
        <w:t xml:space="preserve">4. The partnership agreement concluded between MME and Pro-BTP thus constitutes an exclusive control of MME by Pro-BTP. Consequently, the operation constitutes a concentration, within the meaning of Article L. 430-1 of the Commercial Code.  </w:t>
        <w:br/>
        <w:t xml:space="preserve">5. The concerned companies have achieved a consolidated turnover excluding taxes on a global scale of more than 150 million euros (Pro-BTP group: 2.8 billion euros for the fiscal year ending December 31, 2015; MME: 141.6 million euros for the same fiscal year). Each of these companies has achieved a turnover in France exceeding 50 million euros (Pro-BTP group: 2.8 billion euros for the fiscal year ending December 31, 2015; MME: 141.6 million euros for the same fiscal year). Given these turnover figures, the operation does not fall under the jurisdiction of the European Union. However, the control thresholds mentioned in I of Article L. 430-2 of the Commercial Code are exceeded.  </w:t>
        <w:br/>
        <w:t>6. This operation is therefore subject to the provisions of Articles L. 430-3 and following of the Commercial Code relating to economic concentration. However, it was not the subject of a notification in 2012. The developments below are therefore without prejudice to the possible application of the provisions of Article L.430-8 of the Commercial Code.</w:t>
      </w:r>
    </w:p>
    <w:p>
      <w:r>
        <w:t xml:space="preserve">II. Delimitation of Relevant Markets  </w:t>
        <w:br/>
        <w:t xml:space="preserve">7. The parties are simultaneously active in the insurance markets.  </w:t>
        <w:br/>
        <w:t xml:space="preserve">8. National and European decision-making practice consistently distinguishes reinsurance activities from insurance activities.  </w:t>
        <w:br/>
        <w:t xml:space="preserve">9. In this case, the parties are only simultaneously present in the insurance markets, for which a distinction has been made between personal insurance and property and liability insurance, each of which can be segmented into as many markets as there are insurances covering different types of risks.  </w:t>
        <w:br/>
        <w:t xml:space="preserve">10. Additional segmentations have been considered within personal insurance between group insurance contracts and individual insurance contracts, and within property and liability insurance, between insurance for individuals and insurance for professionals.  </w:t>
        <w:br/>
        <w:t xml:space="preserve">11. A distinct market for funeral insurance has thus been examined, intended to cover funeral expenses and to provide assistance for the procedures and formalities related to death.  </w:t>
        <w:br/>
        <w:t xml:space="preserve">12. In this case, the parties are simultaneously active in the health insurance markets and provident insurance, both individual and collective, as well as in the funeral insurance market.  </w:t>
        <w:br/>
        <w:t xml:space="preserve">13. Regarding the geographical delimitation, it appears from decision-making practice that, with the exception of certain insurances covering large-scale risks, the insurance product markets are considered to be of national dimension, taking into account consumer preferences, the existence of national legislation and tax constraints, the current structure of these markets, or regulatory systems.  </w:t>
        <w:br/>
        <w:t>14. However, the question of the exact delimitation of insurance product markets may be left open, as the conclusions of the competitive analysis remain unchanged regardless of the segmentation retained.</w:t>
      </w:r>
    </w:p>
    <w:p>
      <w:r>
        <w:rPr>
          <w:b/>
        </w:rPr>
        <w:t>[Pages 4–4]</w:t>
      </w:r>
    </w:p>
    <w:p>
      <w:r>
        <w:t>III. Competitive Analysis</w:t>
      </w:r>
    </w:p>
    <w:p>
      <w:r>
        <w:t>15. In the insurance product markets, the position of the new entity will be below 10%, regardless of the segmentation considered. In each of the segments examined (collective health insurance, individual health insurance, collective provident insurance, individual provident insurance, and funeral insurance), Pro-BTP will continue to face competition from large groups, such as Malakoff-Médéric, Axa, Groupama Gan, AG2R-La Mondiale, and Covéa.</w:t>
      </w:r>
    </w:p>
    <w:p>
      <w:r>
        <w:t>16. Consequently, the operation is not likely to harm competition in the insurance markets.</w:t>
      </w:r>
    </w:p>
    <w:p>
      <w:r>
        <w:t>DECIDES</w:t>
      </w:r>
    </w:p>
    <w:p>
      <w:r>
        <w:t>Sole Article: The operation notified under number 17-042 is authorized.</w:t>
      </w:r>
    </w:p>
    <w:p>
      <w: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