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https://www.autoritedelaconcurrence.fr/fr/decision-de-controle-des-concentrations/relative-la-prise-de-controle-exclusif-de-la-mutuelle-saint</w:t>
      </w:r>
    </w:p>
    <w:p>
      <w:r>
        <w:t>Pages translated : 4</w:t>
      </w:r>
    </w:p>
    <w:p/>
    <w:p>
      <w:r>
        <w:rPr>
          <w:b/>
        </w:rPr>
        <w:t>[Pages 1–3]</w:t>
      </w:r>
    </w:p>
    <w:p>
      <w:r>
        <w:t>FRENCH REPUBLIC</w:t>
        <w:br/>
        <w:t>Decision No. 15-DCC-108 of August 12, 2015</w:t>
        <w:br/>
        <w:t>regarding the exclusive control of Mutuelle Saint-Germain</w:t>
        <w:br/>
        <w:t>by Klésia Mutuelle</w:t>
        <w:br/>
        <w:t>The Competition Authority,</w:t>
        <w:br/>
        <w:t>Having regard to the notification file submitted in full to the concentrations service on July 15, 2015,</w:t>
        <w:br/>
        <w:t>regarding the exclusive control of Mutuelle Saint-Germain by Klésia Mutuelle,</w:t>
        <w:br/>
        <w:t>formalized by a merger agreement dated June 25, 2015;</w:t>
        <w:br/>
        <w:t>Having regard to Book IV of the Commercial Code relating to price and competition freedom, and</w:t>
        <w:br/>
        <w:t>notably its Articles L. 430-1 to L. 430-7;</w:t>
        <w:br/>
        <w:t>Having regard to the supplementary elements transmitted by the parties during the investigation;</w:t>
        <w:br/>
        <w:t>Adopts the following decision:</w:t>
        <w:br/>
        <w:t>I. The concerned companies and the operation</w:t>
        <w:br/>
        <w:t>1. Klésia is a parity group of social protection resulting from the merger between the Mornay and D&amp;O groups. It includes two interprofessional complementary retirement institutions (Klésia retraite ARCCO and Klésia retraite AGIRC), a complementary retirement fund for transport (Carcept), two management associations for the End of Activity Leave in the transport sector (FONGECFA and AGECFA), two provident institutions (Klésia Prévoyance and Carcept Prévoyance), a transport provident institution (IPRIAC), a public limited insurance company (Klésia SA), a mutual union (la FMP), a mutual insurance company for transport (Mutrafer), and two mutuals (Klésia Mutuelle and Mutuelle Carcept Prév.).</w:t>
        <w:br/>
        <w:t>1 Parity groups of social protection ("GPS") are structured sets of legal entities that have close and lasting ties, created, managed, and controlled by employer organizations and unions (the "social partners"). The GPS includes at least one AGIRC retirement institution, one ARRCO retirement institution, and one provident institution, in the interest of companies and employees (the "one-stop shop" formula). It is constituted of a summit association "law 1901" that is managed jointly and leads the overall strategy of the GPS. A General Director and a resource association complete the system.</w:t>
        <w:br/>
        <w:t>2 Decision of the Competition Authority No. 12-DCC-93 of June 29, 2012 regarding the merger of the Mornay Group, the D&amp;O Group, and the Interdepartmental Mutual Federation of the Paris Region.</w:t>
      </w:r>
    </w:p>
    <w:p>
      <w:r>
        <w:t>2. Its unique political governance structure is a summit association, named Association Sommitale Klésia, which defines the political and strategic orientations of the group. These orientations are outlined in an operational agreement that binds the Association Sommitale Klésia with, on one hand, the resource association, named Association de Moyens Klésia, which carries out management activities, and on the other hand, each of the entities within the group's scope.</w:t>
      </w:r>
    </w:p>
    <w:p>
      <w:r>
        <w:t>3. The Klésia group operates in the personal insurance sector.</w:t>
      </w:r>
    </w:p>
    <w:p>
      <w:r>
        <w:t>4. The Mutuelle Saint-Germain (hereinafter "MSG") is a "Book II" mutual insurance company subject to the provisions of the Code de la mutualité. It is authorized under branches 1 (accidents) and 2 (illness). It operates exclusively in the health insurance sector.</w:t>
      </w:r>
    </w:p>
    <w:p>
      <w:r>
        <w:t>5. MSG, although a member of the mutual union belonging to the Klésia group (la FMP), has, with respect to both the Klésia group and the FMP, total political and functional autonomy prior to the operation: MSG is not a member of the Association Sommitale Klésia and is not a signatory to the operational agreement; it is also not a member of the Association de Moyens Klésia and therefore relies solely on its own resources for its activities and development. MSG is also autonomous with respect to the FMP of which it is a member, as the latter constitutes a simple technical union, and the common directors of the FMP and MSG are in the minority on the board of directors of MSG. Finally, MSG is fully operationally and functionally autonomous as it has all the means and personnel necessary to carry out its activities, only resorting to the FMP for the reinsurance of part of its portfolio and the IT services offered by the union to its members.</w:t>
      </w:r>
    </w:p>
    <w:p>
      <w:r>
        <w:t>6. Under the merger agreement between MSG and Klésia Mutuelle dated June 25, 2015, the operation aims at the merger-absorption of MSG by the Klésia social protection group. The merger will transfer the entirety of MSG's assets to Klésia Mutuelle, the latter receiving the assets and being obliged to pay the liabilities of the former. Consequently, this operation constitutes a concentration within the meaning of Article L.430-1 of the Commercial Code.</w:t>
      </w:r>
    </w:p>
    <w:p>
      <w:r>
        <w:t>7. The concerned companies together achieved a consolidated turnover excluding tax on a global scale of more than 150 million euros (Klésia group: […] euros for the fiscal year ending December 31, 2014; MSG: […] euros for the fiscal year ending December 31, 2014). Each of these companies achieved, in France, a turnover exceeding 50 million euros (Klésia group: […] euros for the fiscal year ending December 31, 2014; MSG: […] euros for the fiscal year ending December 31, 2014). Given these turnover figures, the operation does not have a community dimension. However, the control thresholds mentioned in I of Article L.430-2 of the Commercial Code are exceeded. This operation is therefore subject to the provisions of Articles L.430-3 and following of the Commercial Code relating to economic concentration.</w:t>
      </w:r>
    </w:p>
    <w:p>
      <w:r>
        <w:t>II. Delimitation of relevant markets</w:t>
        <w:br/>
        <w:t>8. The portfolio of insurance contracts transferred at the end of the operation consists of collective and individual health insurance contracts. Both parties to the operation are active in the collective health insurance and individual health insurance markets.</w:t>
      </w:r>
    </w:p>
    <w:p>
      <w:r>
        <w:t>A. DELIMITATION OF PRODUCT OR SERVICE MARKETS</w:t>
        <w:br/>
        <w:t>9. Within the insurance sector, decision-making practice consistently distinguishes between personal insurance and property and liability insurance, each of which can in turn be segmented into as many markets as there are insurances covering different types of risks, insofar as, from the demand perspective, insurances covering these different risks are not substitutable. Regarding the personal insurance market, a further segmentation can be made between group insurance contracts, concluded between an insurer and a policyholder distinct from the beneficiary, and individual insurance contracts where the policyholder is also the beneficiary.</w:t>
      </w:r>
    </w:p>
    <w:p>
      <w:r>
        <w:t>10. In this case, the parties to the operation are simultaneously active in personal insurance, and in particular, in the markets of complementary collective and individual health insurance which aim to supplement the benefits offered by mandatory health insurance schemes. The covered risk corresponds to the costs not covered by social security that are incurred for medical treatment. The complementary reimbursements depend on the benefits of the legal social security scheme.</w:t>
      </w:r>
    </w:p>
    <w:p>
      <w:r>
        <w:t>11. There is no reason to challenge these delimitations in the context of the present operation.</w:t>
      </w:r>
    </w:p>
    <w:p>
      <w:r>
        <w:t>B. DELIMITATION OF GEOGRAPHICAL MARKETS</w:t>
        <w:br/>
        <w:t>12. It follows from decision-making practice that, with the exception of certain insurances covering large-scale risks, insurance product markets are considered to be of national dimension given consumer preferences, the existence of national legislation and tax constraints, the current structure of these markets, or regulatory systems.</w:t>
      </w:r>
    </w:p>
    <w:p>
      <w:r>
        <w:t>13. There is no reason to challenge these delimitations to analyze the effects of the operation.</w:t>
      </w:r>
    </w:p>
    <w:p>
      <w:r>
        <w:t>III. Competitive analysis</w:t>
        <w:br/>
        <w:t>14. The notifying party provided an estimate of the size of the relevant markets in 2014 based on data from Argus of July 2015. It estimates the total market for health insurance.</w:t>
      </w:r>
    </w:p>
    <w:p>
      <w:r>
        <w:rPr>
          <w:b/>
        </w:rPr>
        <w:t>[Pages 4–4]</w:t>
      </w:r>
    </w:p>
    <w:p>
      <w:r>
        <w:t>collective at 12.44 billion euros and the individual health insurance market at 15.37 billion euros.</w:t>
      </w:r>
    </w:p>
    <w:p>
      <w:r>
        <w:t>15. Based on the revenues generated in 2014, the cumulative market share of the parties to the transaction does not exceed 5%, with the transaction resulting in an increment of market share of less than 1%, whether in the collective health insurance market or in the individual health insurance market. Furthermore, following the transaction, the Klésia group will continue to face competition from large insurance groups in the complementary health insurance sector such as the Istya group, Union Harmonie Mutuelles, Axa, Groupama Gan, the Malakoff-Médéric group, or the Humanis group.</w:t>
      </w:r>
    </w:p>
    <w:p>
      <w:r>
        <w:t>16. Therefore, the transaction is not likely to harm competition in the various relevant markets of personal insurance.</w:t>
      </w:r>
    </w:p>
    <w:p>
      <w:r>
        <w:t>DECIDES</w:t>
        <w:br/>
        <w:t>Sole Article: The transaction notified under number 15-098 is authorized.</w:t>
      </w:r>
    </w:p>
    <w:p>
      <w:r>
        <w:t>The Vice-President,</w:t>
        <w:br/>
        <w:t>Emmanuel Combe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