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https://www.autoritedelaconcurrence.fr/fr/decision-de-controle-des-concentrations/relative-la-prise-de-controle-exclusif-de-la-mutuelle</w:t>
      </w:r>
    </w:p>
    <w:p>
      <w:r>
        <w:t>Pages translated : 5</w:t>
      </w:r>
    </w:p>
    <w:p/>
    <w:p>
      <w:r>
        <w:rPr>
          <w:b/>
        </w:rPr>
        <w:t>[Pages 1–3]</w:t>
      </w:r>
    </w:p>
    <w:p>
      <w:r>
        <w:t xml:space="preserve">FRENCH REPUBLIC  </w:t>
        <w:br/>
        <w:t xml:space="preserve">Decision No. 14-DCC-109 of July 28, 2014  </w:t>
        <w:br/>
        <w:t xml:space="preserve">regarding the exclusive control  </w:t>
        <w:br/>
        <w:t>of the Myriade Mutual by Eovi-MCD Mutual</w:t>
      </w:r>
    </w:p>
    <w:p>
      <w:r>
        <w:t xml:space="preserve">The Competition Authority,  </w:t>
        <w:br/>
        <w:t xml:space="preserve">Having regard to the notification file submitted in full to the concentrations service on July 3, 2014, regarding the exclusive control of the Myriade Mutual by Eovi-MCD Mutual, formalized by a draft merger agreement approved at the general meetings of the Myriade Mutual on June 21, 2014, and of Eovi-MCD Mutual on June 28,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w:t>
        <w:br/>
        <w:t xml:space="preserve">1. Eovi-MCD Mutual (hereinafter "Eovi-MCD") is a mutual governed by the provisions of the Mutuality Code and in particular its Book II. It resulted from the merger on January 1, 2013, of the National Mutual MCD and Eovi Mutual1. Eovi-MCD is primarily active in the field of coverage for risks related to accidents (branch 1), illness (branch 2), death (branch 20), and marriage-birth (branch 21). It is also active in the sector of distributing insurance products on behalf of third parties. Furthermore, Eovi-MCD controls2 several mutual unions falling under Book III of the Mutuality Code: Eovi Services and Care, Eovi Disability, Eovi Mutualist Achievements, Eovi-USMAR, and EOVI mutual care network. These mutual unions manage networks of services and care including notably dental offices, optical centers, hearing centers, as well as accommodation establishments for disabled and elderly persons ("EHPAD"). Eovi-MCD also controls the National Union for Computer Management and Complementary Medical-Surgical-Dental Reinsurance ("UNGIRC"), a mutual union subject to the provisions of Book II whose members of the affiliated mutuals benefit from services included in the complementary health insurance products offered by Eovi-MCD.  </w:t>
        <w:br/>
        <w:t xml:space="preserve">2. The Myriade Mutual (hereinafter "Myriade") is a mutual governed by the provisions of Book II of the Mutuality Code. It was established on October 1, 1991, resulting from the merger of three regional mutuals: the Surgical and Medical Mutual of Guyenne and Gascogne, the Surgical and Medical Mutual of Aquitaine, and the Surgical and Medical Mutuals of Libournais. It is active in the field of coverage for risks related to accidents (branch 1) and illness (branch 2) but also in the sector of distributing insurance products on behalf of third parties.  </w:t>
        <w:br/>
        <w:t xml:space="preserve">3. Under the merger agreement signed on June 3, 2014, by Myriade and Eovi-MCD, the draft of which was approved by the general assembly of Myriade on June 21 and by the general assembly of Eovi-MCD on June 28, 2014, the operation consists of the merger-absorption of Myriade by Eovi-MCD, which will benefit from a universal transfer of the assets of Myriade.  </w:t>
        <w:br/>
        <w:t xml:space="preserve">4. Insofar as it results in the exclusive control of Myriade by Eovi-MCD, the notified operation constitutes a concentration within the meaning of Article L. 430-1 of the Commercial Code.  </w:t>
        <w:br/>
        <w:t>5. The concerned companies together achieve a total turnover excluding taxes on a global scale of more than 150 million euros (Eovi-MCD3: […] million euros for the fiscal year ending December 31, 2013; Myriade: […] million euros for the same fiscal year). Each of these companies has achieved in France a turnover exceeding 50 million euros (Eovi-MCD: […] million euros for the fiscal year ending December 31, 2013; Myriade: […] million euros for the same fiscal year). Given these turnover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The parties to the operation are simultaneously active in the insurance markets.  </w:t>
        <w:br/>
        <w:t xml:space="preserve">7. The national and European competition authorities4 distinguish between the markets of personal insurance, property insurance, and reinsurance. Regarding the first two categories of products, the competition authorities have estimated that they can be segmented into as many markets as there are insurances covering different types of risks, insofar as, from the demand perspective, insurances covering these different risks are not substitutable5.  </w:t>
        <w:br/>
        <w:t>8. In the case at hand, the parties to the operation are simultaneously active in the personal insurance sector in the markets of supplementary health insurance and in the market of distributing insurance products on behalf of third parties.</w:t>
      </w:r>
    </w:p>
    <w:p>
      <w:r>
        <w:t xml:space="preserve">A. THE PERSONAL INSURANCE PRODUCT MARKETS  </w:t>
        <w:br/>
        <w:t xml:space="preserve">9. Regarding the personal insurance market, decision-making practice6 has considered that an additional segmentation can be made between group insurance contracts, concluded between an insurer and a subscriber distinct from the beneficiary, and individual insurance contracts where the subscriber is also the beneficiary.  </w:t>
        <w:br/>
        <w:t xml:space="preserve">10. In the case at hand, the parties are simultaneously active in the markets of individual and group supplementary health insurance.  </w:t>
        <w:br/>
        <w:t xml:space="preserve">11. The exact definition of each of the markets examined in this decision may be left open, insofar as the conclusions of the competitive analysis will remain unchanged regardless of the segmentations retained.  </w:t>
        <w:br/>
        <w:t xml:space="preserve">12. As for the geographical delimitation of the markets, with the exception of certain insurances covering large-scale risks, decision-making practice7 has considered that the insurance product markets are of national dimension given consumer preferences, the current structure of these markets, the existence of legislation, sectoral regulatory systems, and national tax constraints.  </w:t>
        <w:br/>
        <w:t>13. There is no need to challenge these delimitations in the context of the present operation.</w:t>
      </w:r>
    </w:p>
    <w:p>
      <w:r>
        <w:t xml:space="preserve">B. THE MARKETS FOR THE DISTRIBUTION OF INSURANCE PRODUCTS ON BEHALF OF THIRD PARTIES  </w:t>
        <w:br/>
        <w:t xml:space="preserve">14. The distribution of insurance products consists of marketing and ensuring the administrative management of the guarantees or insurance contracts whose risk is borne by third-party insurers8. Both European and national competition authorities have left the question of the precise delimitation of the markets in this sector open, with several segmentations being considered9.  </w:t>
        <w:br/>
        <w:t xml:space="preserve">5 See the European Commission decision No. COMP/M.4284 and the Competition Authority decision No. 13-DCC-73 of June 26, 2013, cited above.  </w:t>
        <w:br/>
        <w:t xml:space="preserve">6 See notably the letter from the Minister of Economy, Finance and Industry dated April 7, 2003, to the CEO of the insurance company La Mondiale and to the General Delegate of the AG2R Prévoyance provident institution and decision No. 12-DCC-181 of December 27, 2012, regarding the affiliation of the General Mutual of Economy, Finance and Industry (MGEFI) to the mutualist union of the Istya group.  </w:t>
        <w:br/>
        <w:t xml:space="preserve">7 See notably the decisions of the Competition Authority No. 10-DCC-52 and No. 13-DCC-111 cited above.  </w:t>
        <w:br/>
        <w:t xml:space="preserve">8 See notably the letter from the Minister of Economy, Industry and Employment C2008-77 of October 28, 2008, to the boards of the Mutual Harmony Mutuality company, regarding a concentration in the supplementary health insurance and provident sector, and the decision of the Competition Authority No. 10-DCC-138 of October 19, 2010, regarding the exclusive control of MFPrévoyance by CNP assurances.  </w:t>
        <w:br/>
        <w:t>9 See notably the aforementioned letter from the Minister C2008-77 and the aforementioned decision of the Authority No. 10-DCC-138.</w:t>
      </w:r>
    </w:p>
    <w:p>
      <w:r>
        <w:rPr>
          <w:b/>
        </w:rPr>
        <w:t>[Pages 4–5]</w:t>
      </w:r>
    </w:p>
    <w:p>
      <w:r>
        <w:t>15. A broad market for the distribution of insurance products by independent intermediaries, including all distribution channels (agents, brokers, and other intermediaries including banks), but excluding direct distribution by insurance companies, has thus been identified by decision-making practice10. A market limited to insurance brokerage and including only this distribution channel has also been considered11.</w:t>
      </w:r>
    </w:p>
    <w:p>
      <w:r>
        <w:t>16. The markets for the distribution of insurance products can also be segmented according to the category of insured risks (property insurance and personal insurance) and according to the clientele (businesses or individuals)12.</w:t>
      </w:r>
    </w:p>
    <w:p>
      <w:r>
        <w:t>17. In the case at hand, the parties to the transaction are simultaneously active in the markets for the distribution on behalf of third parties of provident guarantees and assistance products:</w:t>
        <w:br/>
        <w:t>- the market segment of provident insurance includes insurance products intended to cover beneficiaries against loss of income in the event of accident, death, long illness, disability, incapacity, or loss of employment through the payment of compensation in the form of a capital sum or an annuity. The risk covered is that of an unpredictable loss of income suffered by the beneficiary or their rights holders. This may involve either group insurance contracts or individual insurance contracts;</w:t>
        <w:br/>
        <w:t>- the market segment of assistance includes cash or in-kind benefits aimed at helping the insured when faced with an unforeseen event.</w:t>
      </w:r>
    </w:p>
    <w:p>
      <w:r>
        <w:t>18. Regarding their geographical boundaries, the markets for the distribution of insurance products have been considered essentially as being of national dimension.</w:t>
      </w:r>
    </w:p>
    <w:p>
      <w:r>
        <w:t>19. The question of the exact delimitation of the markets for the distribution of insurance products may be left open insofar as, regardless of the delimitation retained, the conclusions of the competitive analysis remain unchanged.</w:t>
      </w:r>
    </w:p>
    <w:p>
      <w:r>
        <w:t>III. Competitive Analysis</w:t>
      </w:r>
    </w:p>
    <w:p>
      <w:r>
        <w:t>A. THE PERSONAL INSURANCE PRODUCT MARKETS</w:t>
      </w:r>
    </w:p>
    <w:p>
      <w:r>
        <w:t>20. The parties to the transaction are both active in personal insurance in the markets of supplementary health insurance (individual and group).</w:t>
      </w:r>
    </w:p>
    <w:p>
      <w:r>
        <w:t>21. Based on the 2013 ranking of the Argus de l’Assurance (published in June 2014), the notifying party estimates13 that the new entity holds a market share of [0-5]% in the market for individual supplementary health insurance, with Myriade representing only an increment of [0-5]%.</w:t>
      </w:r>
    </w:p>
    <w:p>
      <w:r>
        <w:t>22. In the market for collective supplementary health insurance, Eovi-MCD's market share is [0-5]% and that of Myriade is [0-5]%, resulting in a combined market share of [0-5]%.</w:t>
      </w:r>
    </w:p>
    <w:p>
      <w:r>
        <w:t>23. In both markets for supplementary health insurance, following the transaction, Eovi-MCD will continue to face competition from powerful operators such as the Istya Group, Union Harmonie Mutuelles, or Groupama Gan for individual contracts and such as the Humanis Group, Malakoff-Médéric Group, or Axa for collective contracts.</w:t>
      </w:r>
    </w:p>
    <w:p>
      <w:r>
        <w:t>24. The transaction is therefore not likely to harm competition in the personal insurance markets.</w:t>
      </w:r>
    </w:p>
    <w:p>
      <w:r>
        <w:t>B. THE MARKETS FOR THE DISTRIBUTION OF INSURANCE PRODUCTS ON BEHALF OF THIRD PARTIES</w:t>
      </w:r>
    </w:p>
    <w:p>
      <w:r>
        <w:t>25. The distribution of insurance products on behalf of third parties represents a marginal part of the activity of the mutuals involved in the transaction.</w:t>
      </w:r>
    </w:p>
    <w:p>
      <w:r>
        <w:t>26. According to the notifying party14, their combined market share in the market for the distribution on behalf of third parties of provident and assistance products is less than [0-5]%. The new entity will also continue to face competition from numerous distributors.</w:t>
      </w:r>
    </w:p>
    <w:p>
      <w:r>
        <w:t>27. Consequently, the transaction will not harm competition in the markets for the distribution of insurance products on behalf of third parties.</w:t>
      </w:r>
    </w:p>
    <w:p>
      <w:r>
        <w:t>DECIDES</w:t>
      </w:r>
    </w:p>
    <w:p>
      <w:r>
        <w:t>Single Article: The transaction notified under number 14-092 is authorized.</w:t>
      </w:r>
    </w:p>
    <w:p>
      <w:r>
        <w:t>The President,</w:t>
        <w:br/>
        <w:t>Bruno Lasserre</w:t>
        <w:br/>
        <w:t>© Competition Authority</w:t>
      </w:r>
    </w:p>
    <w:p>
      <w:r>
        <w:t>14 The source used for estimating these market shares is the 2012 ranking of the Argus de l’Assurance (published in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