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https://www.autoritedelaconcurrence.fr/fr/decision-de-controle-des-concentrations/relative-la-prise-de-controle-exclusif-de-la-sa-segur</w:t>
      </w:r>
    </w:p>
    <w:p>
      <w:r>
        <w:t>Pages translated : 5</w:t>
      </w:r>
    </w:p>
    <w:p/>
    <w:p>
      <w:r>
        <w:rPr>
          <w:b/>
        </w:rPr>
        <w:t>[Pages 1–3]</w:t>
      </w:r>
    </w:p>
    <w:p>
      <w:r>
        <w:t xml:space="preserve">FRENCH REPUBLIC  </w:t>
        <w:br/>
        <w:t xml:space="preserve">Decision No. 10-DCC-19 of February 24, 2010  </w:t>
        <w:br/>
        <w:t xml:space="preserve">regarding the exclusive control of SA Ségur Distribution by  </w:t>
        <w:br/>
        <w:t xml:space="preserve">the company ITM Alimentaire Ouest (ITM Enterprises Group)  </w:t>
        <w:br/>
        <w:t xml:space="preserve">The Competition Authority,  </w:t>
        <w:br/>
        <w:t xml:space="preserve">Having regard to the notification file submitted in full to the concentrations service on January 22, 2010,  </w:t>
        <w:br/>
        <w:t xml:space="preserve">regarding the exclusive control of the company SA Ségur Distribution by the company ITM Alimentaire Ouest, formalized by a unilateral purchase promise granted on July 5, 2006,  </w:t>
        <w:br/>
        <w:t xml:space="preserve">by the company ITM Alimentaire Ouest and lifted on August 29, 2009, by Mr. and Mrs. X, beneficiaries of this promise.  </w:t>
        <w:br/>
        <w:t xml:space="preserve">Having regard to Book IV of the Commercial Code relating to the freedom of prices and competition, and in particular its Articles L. 430-1 to L. 430-7;  </w:t>
        <w:br/>
        <w:t xml:space="preserve">Adopts the following decision:  </w:t>
        <w:br/>
        <w:t xml:space="preserve">I. The concerned companies and the operation.  </w:t>
        <w:br/>
        <w:t xml:space="preserve">1. The company ITM Entreprises, 100% controlled by the Société civile des Mousquetaires, itself held by 1,330 physical persons known as "associated members," leads and animates the network of independent merchants known as the "Groupement des Mousquetaires." As a franchisor, the company ITM Entreprises has as its main activity the animation of a network of sales outlets, both food and non-food, operated by independent merchants under the following brands: Intermarché, Ecomarché, Netto, Restaumarché, Bricomarché, Roady, and Vêti. This management is carried out notably through the signing and monitoring of brand contracts with the companies operating these sales outlets. ITM Entreprises also provides its franchisees with various services for prospecting, consulting, training, etc. Finally, ITM Entreprises offers franchisees the opportunity to benefit from advantageous supply conditions from its national and regional subsidiaries as well as from external suppliers referenced outside the "Groupement des Mousquetaires."  </w:t>
        <w:br/>
        <w:t xml:space="preserve">2. The company ITM Alimentaire Ouest is a French law company held at [&gt;50]% by the Société ITM Alimentaire France, itself held by the company ITM Entreprises, and at [&lt;50]% by the company ITM Entreprises. The company ITM Entreprises has entrusted ITM Alimentaire Ouest with the animation and development of the franchisee network operating the food brands Intermarché, Ecomarché, and Netto in the Western region of France.  </w:t>
        <w:br/>
        <w:t xml:space="preserve">3. The ITM Entreprises group achieved, during the last fiscal year ending on December 31, 2008, a total turnover excluding taxes of [20-30] billion euros, of which [15-25] billion in France.  </w:t>
        <w:br/>
        <w:t xml:space="preserve">4. The company SA Ségur Distribution (hereinafter "Ségur Distribution"), is a French law company whose main purpose is the operation of a predominantly food store located in L’Aigle (61) under the Intermarché brand. The shares of the company Ségur Distribution are held [majority] in full ownership by different members of the X family. The balance of the capital of the company Ségur Distribution is held by ITM Entreprises. Mr. and Mrs. X are signatories of the membership charter of the Groupement des Mousquetaires and the company Ségur Distribution signed a brand contract with ITM Entreprises on May 31, 2006. The total turnover excluding taxes achieved by Ségur Distribution in 2008, the last closed fiscal year, amounts to 29 million euros exclusively in France.  </w:t>
        <w:br/>
        <w:t xml:space="preserve">5. The statutes of the company Ségur Distribution distinguish two categories of shares: those held by the ITM Entreprises group, known as preference shares, and those held by the other shareholders, known as ordinary shares. For a period of [&gt;10] years, the owner of the preference share has the possibility to block any change of brand, to oppose any transfer of shares, and to compel the majority shareholders to sell the business as soon as they operate a similar business under a competing brand. Beyond this period, ITM Entreprises enjoys its right of preference in the event of a transfer of shares by the other shareholders for an additional period of [&gt;2] years. Furthermore, the brand contract grants ITM Entreprises a right of priority in the event of a transfer of the business, at a price calculated according to a predetermined formula and this, for a duration of [&gt;10] years, extended by [&gt;2] years after the expiration of the brand contract.  </w:t>
        <w:br/>
        <w:t xml:space="preserve">6. It follows from the above that prior to the operation, ITM Entreprises, jointly with the X family, exercises control over the company Ségur Distribution.  </w:t>
        <w:br/>
        <w:t xml:space="preserve">7. ITM Alimentaire Ouest has committed, by a purchase promise signed on July 5, 2006, to acquire 99% of the shares of the company Ségur Distribution, held by the X family. Following the operation, the ITM Entreprises group will become the exclusive shareholder of the company Ségur Distribution.  </w:t>
        <w:br/>
        <w:t xml:space="preserve">8. The notified operation thus results in the transition from joint control to exclusive control of the company Ségur Distribution by the ITM Enterprises group. It therefore constitutes a concentration within the meaning of Article L. 430-1 of the Commercial Code.  </w:t>
        <w:br/>
        <w:t>9. Given the turnover of the concerned companies, it does not have a community dimension. On the other hand, the control thresholds related to retail trade mentioned in point II of Article L. 430-2 of the Commercial Code are exceeded. The present operation is therefore subject to the provisions of Articles L. 430-3 and following of the Commercial Code relating to economic concentration.</w:t>
      </w:r>
    </w:p>
    <w:p>
      <w:r>
        <w:t xml:space="preserve">II. Delimitation of Relevant Markets  </w:t>
        <w:br/>
        <w:t xml:space="preserve">10. According to the consistent practice of national and community competition authorities1, two categories of markets can be delineated2 in the predominantly food distribution sector. These are, on the one hand, the "downstream" markets, of local dimension, which bring together retail businesses and consumers for the sale of consumer goods and, on the other hand, the "upstream" markets for the supply of retail businesses with everyday consumer goods, of national dimension.  </w:t>
        <w:br/>
        <w:t xml:space="preserve">A. DOWNSTREAM DISTRIBUTION MARKETS  </w:t>
        <w:br/>
        <w:t xml:space="preserve">1. SERVICE MARKETS  </w:t>
        <w:br/>
        <w:t xml:space="preserve">11. Regarding the retail sale of everyday consumer goods, competition authorities, both community and national3, have distinguished six categories of commerce using several criteria, including the size of the stores, their sales techniques, their accessibility, the nature of the service provided, and the range of products offered: (i) hypermarkets, (ii) supermarkets, (iii) specialized trade, (iv) small retail trade, (v) maxi-discounters, (vi) mail order.  </w:t>
        <w:br/>
        <w:t xml:space="preserve">12. Hypermarkets are usually defined as stores with a predominant food focus with a sales area equal to or greater than 2,500 m².  </w:t>
        <w:br/>
        <w:t xml:space="preserve">13. In the present case, the store involved in the operation occupies a sales area of 4,000 m², thus falling into the category of hypermarkets.  </w:t>
        <w:br/>
        <w:t xml:space="preserve">2. GEOGRAPHICAL DELIMITATION  </w:t>
        <w:br/>
        <w:t xml:space="preserve">14. In its recent decisions4 regarding operations involving hypermarkets or supermarkets, the Competition Authority has recalled that depending on the size of the stores concerned, the conditions of competition should be assessed in two different markets: a first market where consumer demand for everyday consumer goods meets the supply of hypermarkets that they can access within less than 30 minutes of driving and which are, from their point of view, substitutable for each other;  </w:t>
        <w:br/>
        <w:t xml:space="preserve">1 See in particular the decisions of the commission M.946 Intermarché/Spar of June 30, 1997, M.991 Promodès/Casino of October 30, 1997, and M.1684 Carrefour/Promodès of January 25, 2000. See also the ministerial order of July 5, 2000, in the Carrefour/Promodès operation and the opinions of the Competition Council No. 97-A-14 of July 1, 1997, in the Carrefour/Cora case, No. 98-A-06 of May 5, 1998, in the Casino Franprix/Leader Price case, and No. 00-A-06 of May 3, 2000, in the Carrefour/Promodès case.  </w:t>
        <w:br/>
        <w:t xml:space="preserve">2 Decisions of the Commission in the cases M.1221 Rewe/Meinl of February 3, 1999, M.1684 Carrefour/Promodès of January 25, 2000, and M.2115 Carrefour/GB of September 28, 2000. See also the decision C.2005-98 Carrefour/Penny Market of November 10, 2005.  </w:t>
        <w:br/>
        <w:t xml:space="preserve">3 Decisions C.2008-32 Amidis SAGC of July 9, 2008, C.2007-172 Carrefour Plane Plamidis, of February 13, 2008, C.2007-154 Système U Vergali of December 3, 2007, C.2007-05 Carrefour Sofodis of March 26, 2007, C.2006-15 Amidis Hamon of April 14, 2006, C 2005-98 Carrefour Penny Market of November 10, 2005.  </w:t>
        <w:br/>
        <w:t>4 See in particular the decisions 09-DCC-24 of July 23, 2009 Floritine/C.S.F; 09-DCC- of May 28, 2009 Frandis/Financière Perdis; 09-DCC-06 of May 20, 2009 Evolis/ITM; 09-DCC-04 of April 29, 2009 Carrefour/Noukat,</w:t>
      </w:r>
    </w:p>
    <w:p>
      <w:r>
        <w:rPr>
          <w:b/>
        </w:rPr>
        <w:t>[Pages 4–5]</w:t>
      </w:r>
    </w:p>
    <w:p>
      <w:r>
        <w:t xml:space="preserve">a secondary market where consumer demand meets the supply of supermarkets and equivalent forms of commerce, located within a 15-minute drive. These latter forms of commerce may include, in addition to supermarkets, hypermarkets located near consumers and discount stores.  </w:t>
        <w:br/>
        <w:t xml:space="preserve">15. In the present case, since the store involved in the operation has a sales area of 4,000 m2, the competitive analysis will focus on the market including hypermarkets located within a 30-minute radius encompassing the store involved in the current operation and on the one including all hypermarkets, supermarkets, and maxi-discounters located within a 15-minute catchment area around L'Aigle.  </w:t>
        <w:br/>
        <w:t xml:space="preserve">B. UPSTREAM MARKETS OF SUPPLY  </w:t>
        <w:br/>
        <w:t xml:space="preserve">16. Regarding the supply markets, the European Commission5 has recognized the existence of national dimension markets by major product groups, a delimitation followed by national authorities6.  </w:t>
        <w:br/>
        <w:t xml:space="preserve">17. There is no reason to challenge this delimitation in the context of the present operation.  </w:t>
        <w:br/>
        <w:t xml:space="preserve">III. Competitive Analysis  </w:t>
        <w:br/>
        <w:t xml:space="preserve">18. On the first downstream market, including hypermarkets located within a 30-minute catchment area around L'Aigle, the Intermarché of L'Aigle owned by Ségur Distribution represents 25% of the market share expressed in sales areas (4,000 m² out of a total of 15,744 m²). Also present in this same first market is another Intermarché hypermarket occupying an area of 3,220 m² (20% market share). Stores operated under a brand belonging to the Intermarché group therefore hold, before and after the operation, a market share of 45%. They face competition from a hypermarket owned by the E. Leclerc group which occupies a sales area of 5,600 m² (36% market share) and a hypermarket owned by the Carrefour group which occupies a sales area of 2,924 m² (19% market share).  </w:t>
        <w:br/>
        <w:t xml:space="preserve">19. On the second downstream market, in addition to the hypermarket of L'Aigle which represents 31% of the market share, an Intermarché store of 1,390 m² is present in the area. Together, the stores operated under a brand of the Intermarché group hold, before and after the operation, 42% market share. They face competition from the aforementioned E. Leclerc store which occupies a sales area of 5,600 m² (43% market share) and smaller stores from the EMC Distribution, Aldi, and Lidl groups, each holding 5% market share.  </w:t>
        <w:br/>
        <w:t xml:space="preserve">5 See the Commission decisions M.1684 Carrefour/Promodès of January 25, 2000 and M. 2115 Carrefour/GB of September 28, 2000.  </w:t>
        <w:br/>
        <w:t xml:space="preserve">6 See in particular the decisions of the minister in the sector, C2005-98, Carrefour/Penny Market of November 10, 2005, C2006-15 Carrefour/Groupe Hamon of April 14, 2006, C2007-172 relating to the creation of the joint venture Plamidis of February 13, 2008 and C2008-32 Carrefour/SAGC of July 9, 2008.  </w:t>
        <w:br/>
        <w:t xml:space="preserve">20. Regarding the upstream supply markets, the operation, which concerns only one store, is not likely to significantly strengthen the purchasing power of the ITM Enterprises group, across all products as well as by major product groups. The strengthening is all the more minor since, prior to the operation, the target company was already sourcing [majority] through subsidiaries of ITM Enterprises.  </w:t>
        <w:br/>
        <w:t xml:space="preserve">21. Consequently, the operation is not likely to harm competition both in the downstream market and in the upstream market of predominantly food distribution.  </w:t>
        <w:br/>
        <w:t xml:space="preserve">DECIDES  </w:t>
        <w:br/>
        <w:t xml:space="preserve">Sole Article: The operation notified under number 10-0006 is authorized.  </w:t>
        <w:b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