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https://www.autoritedelaconcurrence.fr/fr/decision-de-controle-des-concentrations/relative-la-prise-de-controle-exclusif-de-la-sacicap</w:t>
      </w:r>
    </w:p>
    <w:p>
      <w:r>
        <w:t>Pages translated : 2</w:t>
      </w:r>
    </w:p>
    <w:p/>
    <w:p>
      <w:r>
        <w:rPr>
          <w:b/>
        </w:rPr>
        <w:t>[Pages 1–2]</w:t>
      </w:r>
    </w:p>
    <w:p>
      <w:r>
        <w:t xml:space="preserve">FRENCH REPUBLIC  </w:t>
        <w:br/>
        <w:t xml:space="preserve">Decision No. 22-DCC-229 of November 22, 2022  </w:t>
        <w:br/>
        <w:t xml:space="preserve">regarding the exclusive control acquisition of SACICAP Procivis Rhône by the Batigère group  </w:t>
        <w:br/>
        <w:t xml:space="preserve">The Competition Authority,  </w:t>
        <w:br/>
        <w:t xml:space="preserve">Having regard to the complete notification file submitted to the mergers department on November 2, 2022, concerning the exclusive control acquisition of SACICAP Procivis Rhône by the Batigère group, formalized by a transfer protocol signed on July 22,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SACICAP Procivis Rhône by the Batigère group. Both the acquirer and the target are active in markets related to the real estate sector.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DECISION  </w:t>
        <w:br/>
        <w:t xml:space="preserve">Sole Article: The operation notified under number 22-261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