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https://www.autoritedelaconcurrence.fr/fr/decision-de-controle-des-concentrations/relative-la-prise-de-controle-exclusif-de-la-sas-americ-par</w:t>
      </w:r>
    </w:p>
    <w:p>
      <w:r>
        <w:t>Pages translated : 2</w:t>
      </w:r>
    </w:p>
    <w:p/>
    <w:p>
      <w:r>
        <w:rPr>
          <w:b/>
        </w:rPr>
        <w:t>[Pages 1–2]</w:t>
      </w:r>
    </w:p>
    <w:p>
      <w:r>
        <w:t xml:space="preserve">FRENCH REPUBLIC  </w:t>
        <w:br/>
        <w:t xml:space="preserve">Decision No. 15-DCC-65 of June 9, 2015  </w:t>
        <w:br/>
        <w:t xml:space="preserve">regarding the exclusive control acquisition of SAS Ame’ric by the company  </w:t>
        <w:br/>
        <w:t xml:space="preserve">Système U Centrale Régionale Sud  </w:t>
        <w:br/>
        <w:t xml:space="preserve">The Competition Authority,  </w:t>
        <w:br/>
        <w:t xml:space="preserve">Having regard to the complete notification file sent to the mergers department on May 19, 2015  </w:t>
        <w:br/>
        <w:t xml:space="preserve">concerning the exclusive control acquisition of the company Ame’ric by the company Système U Centrale  </w:t>
        <w:br/>
        <w:t xml:space="preserve">Régionale Sud and materialized by the acceptance of a prior sale offer dated December 15, 2014;  </w:t>
        <w:br/>
        <w:t xml:space="preserve">Having regard to Book IV of the Commercial Code relating to the freedom of prices and competition, and  </w:t>
        <w:br/>
        <w:t xml:space="preserve">notably its Articles L. 430-1 to L. 430-7;  </w:t>
        <w:br/>
        <w:t xml:space="preserve">Having regard to the additional elements provided by the parties during the investigation;  </w:t>
        <w:br/>
        <w:t xml:space="preserve">Adopts the following decision:  </w:t>
        <w:br/>
        <w:t xml:space="preserve">1. The notified operation consists of the acquisition of exclusive control of the company Ame’ric, which is  </w:t>
        <w:br/>
        <w:t xml:space="preserve">the owner and operates a retail business predominantly in food under the brand Super U in the city of Servian (34), by the company Système U Centrale Régionale Sud. The operation constitutes a concentration operation within the meaning of Article L. 430-1 of the Commercial Code. Given the turnover achieved by the companies involved, the operation does not fall under the jurisdiction of the European Union. On the other hand, the control thresholds relating to concentration operations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15-075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