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https://www.autoritedelaconcurrence.fr/fr/decision-de-controle-des-concentrations/relative-la-prise-de-controle-exclusif-de-la-sas-garage-de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12-DCC-74 of May 25, 2012  </w:t>
        <w:br/>
        <w:t xml:space="preserve">regarding the exclusive control acquisition of SAS Garage de l’Autoroute  </w:t>
        <w:br/>
        <w:t xml:space="preserve">by Société Commerciale Automobile  </w:t>
        <w:br/>
        <w:t xml:space="preserve">The Competition Authority,  </w:t>
        <w:br/>
        <w:t xml:space="preserve">Having regard to the complete notification file submitted to the mergers department on April 25, 2012,  </w:t>
        <w:br/>
        <w:t xml:space="preserve">concerning the acquisition of SAS Garage de l’Autoroute by Société Commerciale Automobile;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SAS Garage de l’Autoroute,  </w:t>
        <w:br/>
        <w:t xml:space="preserve">operating an automobile distribution business under the Peugeot brand located in the city of Roncq (59), by Société Commerciale Automobile, a subsidiary of the Peugeot group. It constitutes a concentration operation within the meaning of Article L. 430-1 of the Commercial Code.  </w:t>
        <w:br/>
        <w:t xml:space="preserve">Given the turnover achieved by the companies concerned, the operation does not have a community dimension. On the other hand, the control thresholds related to retail trade mentioned in point II of Article L. 430-2 of the Commercial Code are exceeded. 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12-052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