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https://www.autoritedelaconcurrence.fr/fr/decision-de-controle-des-concentrations/relative-la-prise-de-controle-exclusif-de-la-sas-holding</w:t>
      </w:r>
    </w:p>
    <w:p>
      <w:r>
        <w:t>Pages translated : 3</w:t>
      </w:r>
    </w:p>
    <w:p/>
    <w:p>
      <w:r>
        <w:rPr>
          <w:b/>
        </w:rPr>
        <w:t>[Pages 1–3]</w:t>
      </w:r>
    </w:p>
    <w:p>
      <w:r>
        <w:t xml:space="preserve">FRENCH REPUBLIC  </w:t>
        <w:br/>
        <w:t xml:space="preserve">Decision No. 11-DCC-01 of January 10, 2011  </w:t>
        <w:br/>
        <w:t xml:space="preserve">regarding the exclusive control of SAS Holding Merentalis  </w:t>
        <w:br/>
        <w:t xml:space="preserve">by the company David Gerbier Finances  </w:t>
        <w:br/>
        <w:t xml:space="preserve">The Competition Authority,  </w:t>
        <w:br/>
        <w:t xml:space="preserve">Having regard to the notification file submitted in full to the merger service on December 21, 2010, regarding the exclusive control of SAS Holding Merentalis by the company David Gerbier Finances via the company DGF Autos et Services, formalized by a memorandum of understanding dated December 15, 2010;  </w:t>
        <w:br/>
        <w:t xml:space="preserve">Having regard to Book IV of the Commercial Code relating to the freedom of prices and competition, and in particular its Articles L. 430-1 to L. 430-7;  </w:t>
        <w:br/>
        <w:t xml:space="preserve">Adopts the following decision:  </w:t>
        <w:br/>
        <w:t xml:space="preserve">I. The companies concerned and the operation  </w:t>
        <w:br/>
        <w:t xml:space="preserve">1. The company David Gerbier Finances SAS (hereinafter David Gerbier Finances), a holding controlled by Mr. David Gerbier, holds 95% of the company DGF Autos et Services SAS, whose purpose is to hold companies operating car dealerships and agencies active in the distribution of new and used vehicles of the brands Citroën, Renault, and Dacia, in the departments of Ain (01), Isère (38), and Savoie (73). The company David Gerbier Finances SAS also holds 100% of the shares of the company David Gerbier SAS, which operates a car dealership in Cessy in Ain (01) engaged in the distribution of new Fiat and Alfa Romeo vehicles, 66.66% of the shares of the SCI Sada Patrimoine, which holds the capital of the companies Sada and Ida operating car dealerships under the Citroën brand in the department of Isère, as well as 50% of the shares of the companies GMSA and FLA, which operate car dealerships under the brands Fiat, Alfa Romeo, and Dacia in the departments of Savoie (73) and Haute Savoie (74).  </w:t>
        <w:br/>
        <w:t xml:space="preserve">2. SAS Holding Merentalis, 98.8% owned by Mr. Alain Rebiere, controls SAS Rebiere et Cie which operates an active car dealership in the sale of new and used Fiat, Alfa Romeo, and Dacia vehicles in Périgueux (24), SAS Agora Automobile which operates three active car dealerships in the sale of new and used Opel vehicles in Périgueux (24), Tulle, and Brive (19), as well as SAS GR Automobiles which operates three active car dealerships in the sale of new and used Toyota vehicles in Tulle, Brive, and Ussel (19).  </w:t>
        <w:br/>
        <w:t xml:space="preserve">3. Pursuant to a memorandum of understanding dated December 15, 2010, the company David Gerbier Finance, via the company DGF Autos et Finances, committed to acquiring 100% of the shares of SAS Holding Merentalis.  </w:t>
        <w:br/>
        <w:t xml:space="preserve">4. As it results in the exclusive control of SAS Holding Merentalis by the company David Gerbier Finances, the notified operation constitutes a concentration operation within the meaning of Article L. 430-1 of the Commercial Code. The companies concerned operate one or more retail stores and together achieve a total worldwide turnover of more than 75 million euros (Group David Gerbier Finances: 249 million euros for the fiscal year ending December 31, 2009; SAS Holding Merentalis: 34.6 million euros for the fiscal year ending December 31, 2009). Each achieves in France in the retail sector a turnover exceeding 15 million euros. Given these turnover figures, the operation does not have a community dimension. On the other hand, the control thresholds related to retail mentioned in point II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A. DELIMITATION OF PRODUCT AND SERVICE MARKETS  </w:t>
        <w:br/>
        <w:t xml:space="preserve">5. In the automotive distribution sector, the decision-making practice distinguishes (i) the distribution of new passenger cars intended for individual customers; (ii) the distribution of new passenger cars intended for professional customers; (iii) the distribution of commercial vehicles (notably light utility vehicles); (iv) the distribution of used vehicles; (v) the distribution of spare parts and automotive accessories; (vi) the distribution of maintenance and repair services for motor vehicles; (vii) the distribution of rental services.  </w:t>
        <w:br/>
        <w:t xml:space="preserve">6. There is no need to challenge these delimitations during the examination of the present operation.  </w:t>
        <w:br/>
        <w:t xml:space="preserve">7. The companies concerned are simultaneously present in five of these markets, namely (i) the distribution of new passenger cars to individual customers, (ii) the distribution of new commercial vehicles, (iii) the distribution of used vehicles, (iv) the distribution of spare parts and automotive accessories, (v) maintenance and repair services for motor vehicles.  </w:t>
        <w:br/>
        <w:t xml:space="preserve">1 See in particular Decision No. 09-DCC-01 of the Competition Authority of April 8, 2009, and Decision No. 10-DCC-23 of March 1, 2010.  </w:t>
        <w:br/>
        <w:t>2</w:t>
      </w:r>
    </w:p>
    <w:p>
      <w:r>
        <w:t xml:space="preserve">B. GEOGRAPHICAL DELIMITATION OF MARKETS  </w:t>
        <w:br/>
        <w:t xml:space="preserve">8. Regarding the retail sale of new or used motor vehicles, spare parts and automotive accessories, and maintenance and repair services for motor vehicles, the decision-making practice adopts a local definition, with the analysis generally conducted at the departmental level.  </w:t>
        <w:br/>
        <w:t xml:space="preserve">9. In this case, SAS Holding Merentalis holds companies active respectively in the municipalities of Périgueux in Dordogne, and Tulle, Brive, and Ussel in Corrèze, the competitive analysis will be conducted solely in these departments.  </w:t>
        <w:br/>
        <w:t xml:space="preserve">III. Competitive analysis  </w:t>
        <w:br/>
        <w:t xml:space="preserve">10. In the relevant markets, the market share of the new entity will remain unchanged as only the target company is present in the markets of Dordogne and Corrèze, the acquirer being active neither in these departments nor in the neighboring departments.  </w:t>
        <w:br/>
        <w:t xml:space="preserve">11. Given the absence of overlap in activities between the parties, the operation is not likely to harm competition.  </w:t>
        <w:br/>
        <w:t xml:space="preserve">DECIDES  </w:t>
        <w:br/>
        <w:t xml:space="preserve">Sole Article: The operation notified under number 10-0235 is authorized.  </w:t>
        <w:br/>
        <w:t xml:space="preserve">The President,  </w:t>
        <w:br/>
        <w:t xml:space="preserve">Bruno Lasserre  </w:t>
        <w:br/>
        <w:t xml:space="preserve">Competition Authority  </w:t>
        <w:br/>
        <w:t xml:space="preserve">2 See the aforementioned decisions.  </w:t>
        <w:br/>
        <w:t>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