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https://www.autoritedelaconcurrence.fr/fr/decision-de-controle-des-concentrations/relative-la-prise-de-controle-exclusif-de-la-semac-par-cdc</w:t>
      </w:r>
    </w:p>
    <w:p>
      <w:r>
        <w:t>Pages translated : 14</w:t>
      </w:r>
    </w:p>
    <w:p/>
    <w:p>
      <w:r>
        <w:rPr>
          <w:b/>
        </w:rPr>
        <w:t>[Pages 1–3]</w:t>
      </w:r>
    </w:p>
    <w:p>
      <w:r>
        <w:t xml:space="preserve">FRENCH REPUBLIC  </w:t>
        <w:br/>
        <w:t xml:space="preserve">Decision No. 23-DCC-138 of July 27, 2023  </w:t>
        <w:br/>
        <w:t>regarding the exclusive control of SEMAC by CDC Habitat</w:t>
      </w:r>
    </w:p>
    <w:p>
      <w:r>
        <w:t xml:space="preserve">The Competition Authority,  </w:t>
        <w:br/>
        <w:t xml:space="preserve">Having regard to the notification file submitted in full to the mergers service on June 26, 2023, regarding the exclusive control of the Société d’économie mixte d’aménagement et de construction (“SEMAC”) by the company CDC Habitat, a subsidiary of the Caisse des dépôts et consignations, formalized by the letter of intent dated February 13, 2023;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The Caisse des dépôts et consignations (“CDC”) is a public institution with a special legal status, governed by Articles L. 518-2 et seq. of the Monetary and Financial Code, which fulfills missions of general interest, in support of public policies conducted by the State and local authorities, and which carries out activities open to competition. These are grouped around four poles: (i) the environment, (ii) real estate through the subsidiaries CDC Habitat and Icade, (iii) investment and private equity, and (iv) services. Established by the law of April 28, 1816, the CDC is placed "under the supervision and guarantee of the legislative authority," this governance mode being intended to ensure the autonomy of this institution which manages private funds requiring special protection. Its subsidiary CDC Habitat has the main mission of developing and sustainably rehabilitating public residential real estate assets.  </w:t>
        <w:br/>
        <w:t xml:space="preserve">2. More specifically, in the territory of La Réunion, CDC Habitat is active through the Société immobilière du département de La Réunion (“SIDR”), the Société d’économie mixte d’aménagement de développement et d’équipement de La Réunion (“SEMADER”), and the Société dionysienne d’aménagement et de construction (“SODIAC”).  </w:t>
        <w:br/>
        <w:t xml:space="preserve">3. SEMAC is a local mixed economy company. Its main missions are to develop and manage social housing programs, business real estate, as well as to participate in development operations in the territory of La Réunion, primarily that of the Communauté intercommunale La Réunion Est (“CIREST”). SEMAC is currently not controlled by one or more of its shareholders, the main ones being the city of Saint-Benoît (34%), CIREST (13%), and the Réunion region (9%).  </w:t>
        <w:br/>
        <w:t xml:space="preserve">4. The operation is formalized by the acquisition, by CDC Habitat, of part of the shares of the city of Saint-Benoît in SEMAC, following which CDC will hold a stake of [≥ 50]% of the share capital and voting rights of SEMAC. The board of directors of SEMAC will be composed of seventeen directors, the majority of whom will be appointed from candidates proposed by CDC. The shareholders' agreement provides that [confidential]. As CDC has an absolute majority on the board of directors, it can therefore ultimately proceed alone to adopt all decisions, including important decisions, some of which are strategic in terms of competition law.  </w:t>
        <w:br/>
        <w:t xml:space="preserve">5. As it results in the exclusive control of SEMAC by CDC Habitat, the notified operation constitutes a concentration within the meaning of Article L. 430-1 of the Commercial Code.  </w:t>
        <w:br/>
        <w:t xml:space="preserve">6. The concerned companies together achieve a total worldwide turnover of more than 75 million euros (CDC: [≥ 75 million] euros for the fiscal year ending December 31, 2021; SEMAC: [≤ 75 million] euros for the fiscal year ending December 31, 2021). Each of these companies achieves, in the department of La Réunion, a turnover exceeding 15 million euros (CDC: &gt; 15 million euros for the fiscal year ending December 31, 2021; SEMAC: [≥ 15 million] euros for the fiscal year ending December 31, 2021).  </w:t>
        <w:br/>
        <w:t>7. Given these turnover figures, the operation does not fall under the jurisdiction of the European Union. On the other hand, the control thresholds mentioned in III of Article L. 430-2 of the Commercial Code are exceeded. The present operation is therefore subject to the provisions of Articles L. 430-3 et seq. of the Commercial Code relating to economic concentration.</w:t>
      </w:r>
    </w:p>
    <w:p>
      <w:r>
        <w:t xml:space="preserve">II. Definition of Relevant Markets  </w:t>
        <w:br/>
        <w:t xml:space="preserve">8. The parties are simultaneously active in the real estate services markets.  </w:t>
        <w:br/>
        <w:t xml:space="preserve">A. SERVICE MARKETS  </w:t>
        <w:br/>
        <w:t xml:space="preserve">9. National1 and European2 competition authorities have considered different segmentations in the real estate services sector according to (i) the recipients of the services (individuals or businesses), (ii) the pricing method (free residential real estate and subsidized social or intermediate housing), (iii) the type of activity conducted on the premises (offices, commercial premises, and other activity premises), and (iv) the nature of the services or goods offered.  </w:t>
        <w:br/>
        <w:t xml:space="preserve">10. Regarding the segmentation according to the nature of the services or goods offered, the decisional practice has considered, while leaving the question open, a distinction between:  </w:t>
        <w:br/>
        <w:t xml:space="preserve">- real estate promotion, which includes construction and sale activities of real estate;  </w:t>
        <w:br/>
        <w:t xml:space="preserve">- management of real estate assets for one's own account;  </w:t>
        <w:br/>
        <w:t xml:space="preserve">- management of real estate assets for third parties;  </w:t>
        <w:br/>
        <w:t xml:space="preserve">1 See in particular the decisions of the Competition Authority No. 21-DCC-138 of August 5, 2021, regarding the joint control of SEMAG by the company Action Logement Immobilier and the region and department of Guadeloupe, No. 21-DCC-60 of April 6, 2021, regarding the joint control of the mixed economy construction company of the Ain department by the company Action Logement Immobilier, the company Adestia, and the Ain department, No. 20-DCC-88 of July 23, 2020, regarding the merger of three social landlords active in the Hauts-de-France region, No. 19-DCC-204 of October 28, 2019, regarding the exclusive control of SEMADER by CDC Habitat, No. 17-DCC-181 of November 6, 2017, regarding five operations in the real estate sector in the overseas departments and regions, No. 17-DCC-09 of January 20, 2017, regarding the joint control of a real estate complex by the Caisse des dépôts et consignations and the Artea group, No. 16-DCC-02 of January 11, 2016, regarding the joint control of a real estate asset located in Marseille by the BPCE group and the Caisse des dépôts et consignations, No. 15-DCC-156 of December 7, 2015, regarding the joint control of a real estate asset for office use by Sogecap and Predica, No. 15-DCC-128 of September 21, 2015, regarding the joint control of a real estate asset located in Rennes by the BPCE group and the Caisse des dépôts et consignations, No. 14-DCC-46 of April 1, 2014, regarding the joint control of an industrial real estate asset in Moselle by Norges Bank and Prologis, No. 09-DCC-16 of June 22, 2009, regarding the merger between the Caisse d’Épargne and Banque Populaire groups, as well as the letter from the Minister of Economy, Industry and Employment C2008-79 of August 22, 2008, regarding a concentration in the real estate sector, BOCCRF No. 8 bis of October 23, 2008.  </w:t>
        <w:br/>
        <w:t>2 See the decisions of the European Commission COMP/M.2110 of September 25, 2000, Deutsche Bank / SEI / JV, IV/M.2825 of July 9, 2002, Fortis AG SA / Bernheim-Comofi, SA COMP/M.3370 of March 9, 2004, BNP Paribas/ARI.</w:t>
      </w:r>
    </w:p>
    <w:p>
      <w:r>
        <w:rPr>
          <w:b/>
        </w:rPr>
        <w:t>[Pages 4–6]</w:t>
      </w:r>
    </w:p>
    <w:p>
      <w:r>
        <w:t>- the administration of real estate, which encompasses the activities of managing properties on behalf of owners and can be segmented between rental management and co-ownership management;</w:t>
        <w:br/>
        <w:t>- real estate appraisal;</w:t>
        <w:br/>
        <w:t>- real estate consulting;</w:t>
        <w:br/>
        <w:t>- intermediation in real estate transactions, within which a distinction can be made between the sale and rental of properties3.</w:t>
      </w:r>
    </w:p>
    <w:p>
      <w:r>
        <w:t>11. Within the management of residential real estate assets for one's own account, the Minister of Economy considered it appropriate to distinguish "the management of social housing, insofar as this activity operates within a specific regulatory framework, through which the State plays an important role, both in terms of financial aid and allocation of housing"4. This distinction remains relevant.</w:t>
      </w:r>
    </w:p>
    <w:p>
      <w:r>
        <w:t>12. Furthermore, regarding the market for residential real estate development, the decision-making practice5 has considered distinguishing residential real estate development from real estate development for business premises.</w:t>
      </w:r>
    </w:p>
    <w:p>
      <w:r>
        <w:t>13. The question of the exact delineation of the markets can, however, be left open, as the conclusions of the competitive analysis remain unchanged, regardless of the hypothesis retained.</w:t>
      </w:r>
    </w:p>
    <w:p>
      <w:r>
        <w:t>14. In this case, the parties are simultaneously present in the markets for the holding and management for their own account of (i) housing for social use; (ii) commercial premises; (iii) offices; and (iv) assets for other activities.</w:t>
      </w:r>
    </w:p>
    <w:p>
      <w:r>
        <w:t>15. The parties are also simultaneously active in the markets for the real estate development of (i) housing for social use; (ii) free residential housing; and (iii) non-residential real estate6.</w:t>
      </w:r>
    </w:p>
    <w:p>
      <w:r>
        <w:t>B. GEOGRAPHICAL MARKETS</w:t>
      </w:r>
    </w:p>
    <w:p>
      <w:r>
        <w:t>3 Letter from the Minister of Economy, Finance and Industry C2005-126 of January 25, 2006, regarding a concentration in the real estate services sector.</w:t>
      </w:r>
    </w:p>
    <w:p>
      <w:r>
        <w:t>4 Letter from the Minister dated June 21, 2002, regarding the creation of the joint venture Eulia between the Caisse des dépôts et consignations and the Caisse nationale des caisses d’épargne; letter from the Minister dated November 8, 2002, to the boards of the company Gécina regarding a concentration in the real estate assets sector.</w:t>
      </w:r>
    </w:p>
    <w:p>
      <w:r>
        <w:t>5 See the decision of the Competition Authority No. 21-DCC-60 of April 6, 2021, regarding the joint control of the Mixed Economy Company for Construction of the Ain Department by Action Logement Immobilier, Adestia, and the Ain Department, and No. 11-DCC-138 of September 30, 2011, regarding the exclusive control by Altarea of Urbat Promotion.</w:t>
      </w:r>
    </w:p>
    <w:p>
      <w:r>
        <w:t>6 The parties are also active in the markets for the administration of real estate. However, this activity will not be analyzed in this decision, due to the low market shares of the parties, below 25% regardless of the exact delineation of the market retained.</w:t>
      </w:r>
    </w:p>
    <w:p>
      <w:r>
        <w:t>16. According to the aforementioned decision-making practice, markets related to the real estate sector are generally of a local dimension, particularly considering the differences between regions and regional metropolises in terms of prices and demand in real estate.</w:t>
      </w:r>
    </w:p>
    <w:p>
      <w:r>
        <w:t>17. For regions outside Île-de-France, competition authorities have conducted their analysis at the regional or sub-regional level7. In its recent decisions, the Authority has examined the effects of operations at the level of agglomerations8.</w:t>
      </w:r>
    </w:p>
    <w:p>
      <w:r>
        <w:t>18. The question of the exact delineation of the geographical markets concerned by the operation can, however, be left open, as the conclusions of the competitive analysis remain unchanged, regardless of the segmentation retained.</w:t>
      </w:r>
    </w:p>
    <w:p>
      <w:r>
        <w:t>19. In this case, the activities of the acquirers and the target overlap in La Réunion. The analyses will therefore be conducted at the level of the La Réunion region. Analyses will also be conducted at the level of agglomerations, that is to say, at the level of the territories of public inter-municipal cooperation establishments ("EPCI"), which is the most conservative level. The parties are simultaneously active in the five EPCI of La Réunion: CIVIS, CASUD, CINOR, CIREST, and TCO.</w:t>
      </w:r>
    </w:p>
    <w:p>
      <w:r>
        <w:t>III. Competitive Analysis</w:t>
      </w:r>
    </w:p>
    <w:p>
      <w:r>
        <w:t>A. ANALYSIS OF HORIZONTAL EFFECTS</w:t>
      </w:r>
    </w:p>
    <w:p>
      <w:r>
        <w:t>1. THE MARKET FOR THE MANAGEMENT FOR ONE'S OWN ACCOUNT OF SOCIAL RENTAL HOUSING</w:t>
      </w:r>
    </w:p>
    <w:p>
      <w:r>
        <w:t>20. In the market for the management for one's own account of social rental housing, the combined market shares of the parties exceed 25% in the territory of La Réunion, as well as across all Réunion EPCI9.</w:t>
      </w:r>
    </w:p>
    <w:p>
      <w:r>
        <w:t>21. In the territory of the EPCI "TCO," the new entity will hold a market share of [40-50]%. However, the increment will be very limited, as the target holds a market share of [0-5]%. Given that the market share of the new entity will be below 50% and that the increment will be less than 2 points, the operation is not likely to harm competition through horizontal effects on the TCO10.</w:t>
      </w:r>
    </w:p>
    <w:p>
      <w:r>
        <w:t>22. In the EPCI of the South of La Réunion, the CIVIS and the CASUD11, the new entity will hold a market share of [40-50]%. However, the increment will be limited, as SEMAC holds a market share of [0-5]% and the new entity will face credible competitors: SHLMR with [30-40]% market share and SODEGIS with [20-30]% market share. Thus, the operation is not likely to harm competition in an area encompassing the EPCI of the south of La Réunion.</w:t>
      </w:r>
    </w:p>
    <w:p>
      <w:r>
        <w:t>23. The new entity will hold market shares exceeding 50% in an area encompassing the entirety of La Réunion, as well as in the EPCI of CIREST and CINOR as indicated in the tables reproduced below.</w:t>
      </w:r>
    </w:p>
    <w:p>
      <w:r>
        <w:t>Table 1 – Management for one's own account of social rental housing (La Réunion)</w:t>
      </w:r>
    </w:p>
    <w:p>
      <w:r>
        <w:t>| Number of social housing | Market share |</w:t>
        <w:br/>
        <w:t>|-------------------------|--------------|</w:t>
        <w:br/>
        <w:t>| CDC (SIDR + SEMADER + SODIAC) | [Confidential] | [40-50]% |</w:t>
        <w:br/>
        <w:t>| SEMAC | [Confidential] | [5-10]% |</w:t>
        <w:br/>
        <w:t>| New entity | [Confidential] | [50-60]% |</w:t>
        <w:br/>
        <w:t>| SHLMR | [Confidential] | [30-40]% |</w:t>
        <w:br/>
        <w:t>| SOGEDIS | [Confidential] | [5-10]% |</w:t>
        <w:br/>
        <w:t>| SEDRE35 | [Confidential] | [5-10]% |</w:t>
        <w:br/>
        <w:t>| Total | [Confidential] | [90-100]% |</w:t>
      </w:r>
    </w:p>
    <w:p>
      <w:r>
        <w:t>Table 2 – Management for one's own account of social rental housing (CIREST)</w:t>
      </w:r>
    </w:p>
    <w:p>
      <w:r>
        <w:t>| Number of social housing | Market share |</w:t>
        <w:br/>
        <w:t>|-------------------------|--------------|</w:t>
        <w:br/>
        <w:t>| CDC (SIDR + SEMADER + SODIAC) | [Confidential] | [30-40]% |</w:t>
        <w:br/>
        <w:t>| SEMAC | [Confidential] | [30-40]% |</w:t>
        <w:br/>
        <w:t>| New entity | [Confidential] | [60-70]% |</w:t>
        <w:br/>
        <w:t>| SHLMR | [Confidential] | [20-30]% |</w:t>
        <w:br/>
        <w:t>| SEDRE36 | [Confidential] | [0-5]% |</w:t>
        <w:br/>
        <w:t>| Total | [Confidential] | [90-100]% |</w:t>
      </w:r>
    </w:p>
    <w:p>
      <w:r>
        <w:t>10 See paragraph 230 of the guidelines of the Competition Authority regarding the control of concentrations.</w:t>
      </w:r>
    </w:p>
    <w:p>
      <w:r>
        <w:t>11 The available data are aggregated data between these two EPCI. The analysis has thus been conducted on a territory uniting these two EPCI. An analysis concerning each of the EPCI would, however, not change the conclusions of the competitive analysis in this case, as these two EPCI are "tense" areas (areas characterized by a significant imbalance between the volume of available supply and the demand for social housing). However, as demonstrated in paragraphs 33 to 36 of this decision, in a tense area configuration, the operation is not likely to alter the competitive structure.</w:t>
      </w:r>
    </w:p>
    <w:p>
      <w:r>
        <w:rPr>
          <w:b/>
        </w:rPr>
        <w:t>[Pages 7–9]</w:t>
      </w:r>
    </w:p>
    <w:p>
      <w:r>
        <w:t>Table 3 – Direct Management of Social Housing (CINOR)</w:t>
      </w:r>
    </w:p>
    <w:p>
      <w:r>
        <w:t>Number of Social Housing Market Share</w:t>
        <w:br/>
        <w:t>CDC (SIDR + SEMADER + SODIAC) [Confidential] [60-70] %</w:t>
        <w:br/>
        <w:t>SEMAC [Confidential] [0-5] %</w:t>
        <w:br/>
        <w:t>New Entity [Confidential] [60-70] %</w:t>
        <w:br/>
        <w:t>SHLMR [Confidential] [30-40] %</w:t>
        <w:br/>
        <w:t>SEDRE37 [Confidential] [0-5] %</w:t>
        <w:br/>
        <w:t>Total [Confidential] [90-100] %</w:t>
      </w:r>
    </w:p>
    <w:p>
      <w:r>
        <w:t>24. Given the strong positions of the new entity at the regional level as well as in the EPCI of CIREST and CINOR, it is necessary to analyze these different areas in more detail.</w:t>
      </w:r>
    </w:p>
    <w:p>
      <w:r>
        <w:t>On the Regulatory Framework Applicable to Social Housing Organizations</w:t>
      </w:r>
    </w:p>
    <w:p>
      <w:r>
        <w:t>25. The decision-making practice of the Authority12 has, on several occasions, detailed the regulatory framework applicable to social housing organizations.</w:t>
      </w:r>
    </w:p>
    <w:p>
      <w:r>
        <w:t>26. Firstly, the allocation of social housing by landlords is governed by a body of rules whose compliance is ensured by public authorities, which prohibits landlords from discriminating in the selection of tenants, regardless of the competitive position of the social landlord in the relevant market. Under these conditions, the operation is not likely to produce effects on the choice of tenants by the parties to the operation.</w:t>
      </w:r>
    </w:p>
    <w:p>
      <w:r>
        <w:t>27. Secondly, rents are set by rent control agreements (hereinafter "APL agreements") which are concluded between the State and social landlords, on a case-by-case basis. They are governed by Article L. 831-1 of the Construction and Housing Code. These agreements set the ceiling rents, which are revised annually on January 1 based on the reference rent index of the second quarter of the previous year. The maximum values of the ceiling rents are set each year. They are differentiated by territory based on the pressure in these territories and by social housing type. The ceiling rents of the APL agreements are subject to modulation based on, among other things, the average size of the housing, the quality of service, and energy performance. The APL agreements therefore constitute a framework that strictly determines the ceiling rent levels for the concerned housing.</w:t>
      </w:r>
    </w:p>
    <w:p>
      <w:r>
        <w:t>28. Rents cannot exceed the amounts set by this legal and regulatory framework. However, they may be below these amounts. The notifying party indicates, in this regard, that SIDR, SODIAC, and SEMADER currently have rents reaching [80-90]%, [80-90]%, and [90-100]% of the ceilings, respectively. The gap is similar for SEMAC, whose rents reach on average [90-100]% of the ceiling.</w:t>
      </w:r>
    </w:p>
    <w:p>
      <w:r>
        <w:t>29. Thirdly, regarding the quality of the social housing service provided by the landlord, the social utility agreements (hereinafter "CUS") concluded between the State and landlords provide for quality indicators that focus on production, renovation, management efficiency, and housing allocations, in order to meet housing objectives for the most disadvantaged and social mix. Furthermore, in the mandatory chapter of the CUS, elements related to the quality of rental management and service to tenants are included. These commitments particularly concern the process of handling tenant complaints, the existence and frequency of a satisfaction survey among tenants, as well as the certification or labeling systems regarding service quality obtained by the organization. They also include data on the number of housing units accessible to persons with reduced mobility in the concerned stock or on the number of rehabilitated housing units renovated to meet the required energy performance standards.</w:t>
      </w:r>
    </w:p>
    <w:p>
      <w:r>
        <w:t>30. Compliance with the entire constrained framework just described, regarding rents and the quality of the social housing service, is ensured by public authorities, notably the State, which ensures that social landlords comply with the regulatory and legislative provisions that apply to them, both in terms of asset management and for housing allocations and rental management. When discrepancies are observed, after a contradictory procedure and upon the proposal of the board of directors, administrative sanctions13 may be proposed by the National Agency for the Control of Social Housing to the minister responsible for housing.</w:t>
      </w:r>
    </w:p>
    <w:p>
      <w:r>
        <w:t>31. These various elements are therefore likely to compel the parties, once the operation is completed, to maintain a certain standard of quality in the offer provided to tenants. However, both regarding the level of rents and the quality of services offered to tenants, the applicable regulatory framework sets a reference standard. It is therefore permissible for operators to set the rents of housing below the ceiling or to offer improved services compared to the quality standard resulting from the CUS, particularly under the influence of competitive pressure from rival operators.</w:t>
      </w:r>
    </w:p>
    <w:p>
      <w:r>
        <w:t>32. Given this situation, the Authority believes that the regulatory framework applicable to the social housing sector is not, by itself, sufficient to eliminate any risk of anti-competitive effects related to the operation.</w:t>
      </w:r>
    </w:p>
    <w:p>
      <w:r>
        <w:t>The Limited Effects of Competitive Dynamics Due to Reduced Consumer Arbitration Capabilities in Tense Areas</w:t>
      </w:r>
    </w:p>
    <w:p>
      <w:r>
        <w:t>33. Given the specificity of the mechanism for allocating social housing, the Authority also questioned the ability of tenant applicants to arbitrate between the offers of social landlords. Indeed, in the absence of such arbitration capability, the market structure would not have any consequence on the incentives for social landlords to improve their offer in terms of quality and, to some extent, price, and the operation would therefore have no effect on the relevant market.</w:t>
      </w:r>
    </w:p>
    <w:p>
      <w:r>
        <w:t>34. Applicants for social housing submit their housing requests on the national registration system (hereinafter "SNE"), which groups all social housing applicants within a single file.</w:t>
      </w:r>
    </w:p>
    <w:p>
      <w:r>
        <w:t>35. In previous decisions, the Authority noted that the Ministry of Housing described the functioning of the SNE as follows: "Each request is followed by events that are recorded electronically by shared management, and accessible to all landlords. [In principle], if a landlord has offered housing, this will be the subject of an event in the system, and another landlord will not practically offer another housing at the same time."</w:t>
      </w:r>
    </w:p>
    <w:p>
      <w:r>
        <w:t>36. A candidate for social housing could, however, find themselves in a situation of arbitration, in the hypothesis where several landlords offer housing to the same candidate from the SNE file. Such a scenario is unlikely in particularly "tense" areas, characterized by a significant imbalance between the volume of available supply and demand. On the contrary, such a situation of arbitration cannot be excluded in the case of "non-tense" areas, especially since the refusal of housing following a proposal from a social landlord does not necessarily have consequences on the future allocation of housing.</w:t>
      </w:r>
    </w:p>
    <w:p>
      <w:r>
        <w:t>37. In order to determine whether the area concerned by the operation exhibited the characteristics of a tense area, the notifying party relied, in particular, on data provided by the Ministry of Ecological Transition which, in November 202014, indicated that a vacancy rate is high when it exceeds 5% and low when it is below 2%. Such a vacancy rate for housing is indeed an indicator of a deficit of social housing relative to demand, and therefore, of a significant imbalance between it and the volume of available supply.</w:t>
      </w:r>
    </w:p>
    <w:p>
      <w:r>
        <w:t>38. It is therefore based on these vacancy rates that the analysis of the effects of the present operation was conducted.</w:t>
      </w:r>
    </w:p>
    <w:p>
      <w:r>
        <w:t>39. According to the notifying party, the total vacancy rate and structural vacancy rate as of January 1, 2022, are below 2% in the territory of La Réunion, as well as at the level of CIREST and CINOR15.</w:t>
      </w:r>
    </w:p>
    <w:p>
      <w:r>
        <w:t>Table 4 – Vacancy Rates of Social Housing (La Réunion)</w:t>
      </w:r>
    </w:p>
    <w:p>
      <w:r>
        <w:t>Total Vacancy Rate Structural Vacancy Rate</w:t>
        <w:br/>
        <w:t>as of 01/01/2022 as of 01/01/2022</w:t>
        <w:br/>
        <w:t>CIREST 1.3% 0.4%</w:t>
        <w:br/>
        <w:t>CINOR 0.9% 0.2%</w:t>
        <w:br/>
        <w:t>La Réunion 0.9% 0.3%</w:t>
      </w:r>
    </w:p>
    <w:p>
      <w:r>
        <w:t>40. The ARMOS16 report thus states that there were 35,780 requests for social housing in La Réunion in 2021, but only 7,600 allocations made in the same territory and during the same period. The overall tension, calculated from a comparison between the number of pending requests as of December 31 of year N-1 and the number of allocations made during year N, is 4.8, an increase since 2020 (4.3)17. The existence of strong overall tension is valid for all territories of the EPCI, as illustrated by the following graph. These tensions are not likely to disappear by 2035.</w:t>
      </w:r>
    </w:p>
    <w:p>
      <w:r>
        <w:rPr>
          <w:b/>
        </w:rPr>
        <w:t>[Pages 10–12]</w:t>
      </w:r>
    </w:p>
    <w:p>
      <w:r>
        <w:t>Figure 1 – Overall Tension in the Social Rental Stock in La Réunion</w:t>
      </w:r>
    </w:p>
    <w:p>
      <w:r>
        <w:t>41. The elements developed above therefore reflect a situation of significant imbalance between the supply of social housing in La Réunion, and in these various EPCI, which can be classified as a "tense" area. As a result, even before the operation, in this area, the arbitration of social housing applicants is limited by the low volume of available supply. Indeed, given this pre-existing structural situation prior to the operation, social housing applicants in La Réunion are not incentivized to refuse social housing and thus, ultimately, to arbitrate between multiple proposals. The change in market structure after the operation will therefore not have any specific consequences on the incentives of the CDC to modify the conditions of its housing supply in light of the disappearance of the competitive pressure exerted on it by the offer of the target.</w:t>
      </w:r>
    </w:p>
    <w:p>
      <w:r>
        <w:t>42. It follows from the above that the notified operation is not likely to harm competition through horizontal effects in the market for the ownership and management for one's own account of housing for social use in La Réunion, as well as in the EPCI of Cirest and CINOR.</w:t>
      </w:r>
    </w:p>
    <w:p>
      <w:r>
        <w:t>2. THE MARKETS FOR THE OWNERSHIP AND MANAGEMENT FOR ONE'S OWN ACCOUNT OF NON-RESIDENTIAL REAL ESTATE</w:t>
      </w:r>
    </w:p>
    <w:p>
      <w:r>
        <w:t>43. The operation leads to an overlap between the activities of the parties in the markets for the ownership and management for one's own account of non-residential real estate (offices, commercial premises, and assets for other activities).</w:t>
      </w:r>
    </w:p>
    <w:p>
      <w:r>
        <w:t>44. However, according to the notifying party's estimates, the combined market shares of the parties do not exceed 25%, regardless of the market considered.</w:t>
      </w:r>
    </w:p>
    <w:p>
      <w:r>
        <w:t>45. The operation is therefore not likely to harm competition through horizontal effects in these markets.</w:t>
      </w:r>
    </w:p>
    <w:p>
      <w:r>
        <w:t>3. THE MARKET FOR REAL ESTATE DEVELOPMENT</w:t>
      </w:r>
    </w:p>
    <w:p>
      <w:r>
        <w:t>46. The operation leads to an overlap between the activities of the acquirer and the target in the markets for real estate development (i) of housing for social use, (ii) of free residential housing, and (iii) of non-residential real estate.</w:t>
      </w:r>
    </w:p>
    <w:p>
      <w:r>
        <w:t>47. According to the notifying party's estimates, the combined market shares of the parties are below 25%, regardless of the market considered.</w:t>
      </w:r>
    </w:p>
    <w:p>
      <w:r>
        <w:t>48. The operation is therefore not likely to harm competition through horizontal effects in these markets.</w:t>
      </w:r>
    </w:p>
    <w:p>
      <w:r>
        <w:t>B. ANALYSIS OF VERTICAL EFFECTS</w:t>
      </w:r>
    </w:p>
    <w:p>
      <w:r>
        <w:t>49.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1. ANALYSIS OF VERTICAL EFFECTS BETWEEN THE ACTIVITY OF FINANCING SOCIAL HOUSING AND THAT OF MANAGING FOR ONE'S OWN ACCOUNT RESIDENTIAL PROPERTIES FOR SOCIAL USE</w:t>
      </w:r>
    </w:p>
    <w:p>
      <w:r>
        <w:t>50. In this case, the CDC is active as a public lender (financing investments of general interest) and public investor (supporting national and local public policies). It is particularly the primary financier of housing for social use in France through long-term loans (from 20 to 50 years) granted to social landlords18.</w:t>
      </w:r>
    </w:p>
    <w:p>
      <w:r>
        <w:t>51. The Authority has already confirmed that the activities of the CDC in the field of financing social housing are not competitive activities19. However, to the extent that the activity of financing housing for social use is situated upstream of the competitive market for the ownership and management for one's own account of housing for social use, the Authority will analyze the risks resulting from the CDC's takeover of SEMAC.</w:t>
      </w:r>
    </w:p>
    <w:p>
      <w:r>
        <w:t>52. In this case, the CDC could refuse to finance other social housing landlords in La Réunion, or make their access to credit more difficult.</w:t>
      </w:r>
    </w:p>
    <w:p>
      <w:r>
        <w:t>53. However, such risks can be ruled out. The CDC indeed grants social landlords loans whose guiding principles are framed by regulatory provisions of the construction and housing code. These loans are offered to landlords under identical financial conditions across the entire territory and without discrimination between borrowers.</w:t>
      </w:r>
    </w:p>
    <w:p>
      <w:r>
        <w:t>54. Regarding the conditions of these loans (and their rates in particular), the CDC is required to grant long-term loans under identical conditions throughout the territory. The rates of the loans are notably indexed to the rate of the resource from which they are financed, in order to achieve alignment between the revenues from these loans and the cost of the resource used. The conditions of the loans are thus subject to a set of regulatory provisions20 that ensure that, in granting loans from savings funds, the CDC does not discriminate between borrowers and that they are treated equally, regardless of their geographical situation or status.</w:t>
      </w:r>
    </w:p>
    <w:p>
      <w:r>
        <w:t>55. Regarding discrimination, any social landlord that meets the approval conditions and obtains approval from the State is eligible for these regulated loans21 from the CDC or, for certain types of financing, from a credit institution that has signed a refinancing agreement22. Since the CDC does not grant this approval, it cannot favor one social landlord over another.</w:t>
      </w:r>
    </w:p>
    <w:p>
      <w:r>
        <w:t>56. Given the above, the operation is not likely to harm competition through vertical effects between the activity of financing social housing and that of managing for one's own account residential properties for social use.</w:t>
      </w:r>
    </w:p>
    <w:p>
      <w:r>
        <w:t>2. ANALYSIS OF VERTICAL EFFECTS BETWEEN THE MARKETS FOR REAL ESTATE DEVELOPMENT AND THOSE FOR MANAGING FOR ONE'S OWN ACCOUNT REAL ESTATE ASSETS</w:t>
      </w:r>
    </w:p>
    <w:p>
      <w:r>
        <w:t>57. The parties are active in the upstream markets (i) for the real estate development of housing for social use, (ii) for the real estate development of free residential housing, and (iii) for the real estate development of non-residential assets.</w:t>
      </w:r>
    </w:p>
    <w:p>
      <w:r>
        <w:t>58. As a preliminary point, it should be noted that any risk of vertical effects between the markets for the real estate development of free residential housing and non-residential assets and those for the management of these assets can be ruled out, as the market shares of the new entity will be below 30% across all these markets.</w:t>
      </w:r>
    </w:p>
    <w:p>
      <w:r>
        <w:t>59. Regarding an analysis of the vertical effects between the market for the real estate development of social housing and that for managing for one's own account social housing, any risk of foreclosure by inputs, which would consist of the new entity refusing to sell housing to its downstream competitors, or providing it at a higher price or under unfavorable conditions, can be ruled out. Indeed, the new entity will have limited market shares in the upstream market for the real estate development of housing for social use (in any case below 30%). Furthermore, the parties' activity in this market has the sole objective of meeting their needs for social housing. Thus,</w:t>
      </w:r>
    </w:p>
    <w:p>
      <w:r>
        <w:rPr>
          <w:b/>
        </w:rPr>
        <w:t>[Pages 13–14]</w:t>
      </w:r>
    </w:p>
    <w:p>
      <w:r>
        <w:t>neither SEMAC nor CDC Habitat offer real estate assets for social housing to third parties. The operation will therefore have no impact on the managers acting on their own account of social housing competing with the new entity.</w:t>
      </w:r>
    </w:p>
    <w:p>
      <w:r>
        <w:t>60. Any risk of locking up outlets can also be ruled out. Such a strategy would involve the new entity refusing to purchase housing produced by its upstream competitors, thereby reducing their commercial outlets. However, except in very specific cases where the land is subject to a reservation for social housing in urban planning plans, or where the property is located in a concerted development zone, the developer remains free to determine whether to sell the constructed housing to a social landlord or to individuals or private investors. There is thus a significant outlet for real estate developers corresponding to the free residential market.</w:t>
      </w:r>
    </w:p>
    <w:p>
      <w:r>
        <w:t>61. Furthermore, nearly half of the demand for social housing constructed by developers is represented by other social landlords than the parties. SHLMR in particular constitutes another major buyer that can acquire a larger share of the supply. Moreover, given the existing pressure on the rental market in La Réunion, it is unlikely that other social landlords will not purchase housing constructed by a real estate developer.</w:t>
      </w:r>
    </w:p>
    <w:p>
      <w:r>
        <w:t>62. Thus, the operation is not likely to harm competition through vertical effects between the markets of social housing development and the management for one's own account of social housing.</w:t>
      </w:r>
    </w:p>
    <w:p>
      <w:r>
        <w:t>DECISION</w:t>
      </w:r>
    </w:p>
    <w:p>
      <w:r>
        <w:t>Sole Article: The operation notified under number 23-100 is authorized.</w:t>
      </w:r>
    </w:p>
    <w:p>
      <w: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