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https://www.autoritedelaconcurrence.fr/fr/decision-de-controle-des-concentrations/relative-la-prise-de-controle-exclusif-de-la-semader-par</w:t>
      </w:r>
    </w:p>
    <w:p>
      <w:r>
        <w:t>Pages translated : 7</w:t>
      </w:r>
    </w:p>
    <w:p/>
    <w:p>
      <w:r>
        <w:rPr>
          <w:b/>
        </w:rPr>
        <w:t>[Pages 1–3]</w:t>
      </w:r>
    </w:p>
    <w:p>
      <w:r>
        <w:t xml:space="preserve">FRENCH REPUBLIC  </w:t>
        <w:br/>
        <w:t xml:space="preserve">Decision No. 19-DCC-204 of October 28, 2019  </w:t>
        <w:br/>
        <w:t xml:space="preserve">regarding the exclusive control of SEMADER by  </w:t>
        <w:br/>
        <w:t>CDC Habitat</w:t>
      </w:r>
    </w:p>
    <w:p>
      <w:r>
        <w:t xml:space="preserve">The Competition Authority,  </w:t>
        <w:br/>
        <w:t xml:space="preserve">Having regard to the notification file submitted in full to the merger service on September 24, 2019, regarding the exclusive control of the Société d’Économie Mixte d’Aménagement de Développement et d’Équipement de La Réunion by CDC Habitat, formalized by the letter of intent dated September 4, 2019;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Adopts the following decision:</w:t>
      </w:r>
    </w:p>
    <w:p>
      <w:r>
        <w:t xml:space="preserve">I. The concerned companies and the operation  </w:t>
        <w:br/>
        <w:t xml:space="preserve">1. The Caisse des Dépôts et Consignations (hereinafter, the "CDC" or "the acquirer") is a public institution with a special legal status, governed by Articles L. 518-2 and following of the Monetary and Financial Code, which fulfills missions of general interest, in support of public policies conducted by the State and local authorities, and which carries out activities open to competition. These are grouped around four poles: (i) the environment, (ii) real estate through its subsidiaries Société Nationale Immobilière and Icade, (iii) investment and private equity, and (iv) services. Established by the law of April 28, 1816, the CDC is placed "under the supervision and guarantee of the legislative authority," this mode of governance being intended to ensure the autonomy of this institution which manages private funds requiring special protection. Its subsidiary CDC Habitat, formerly the Société Nationale Immobilière (the "SNI"), has as its main mission to develop and sustainably rehabilitate public residential real estate assets.  </w:t>
        <w:br/>
        <w:t xml:space="preserve">2. The Société d’Économie Mixte d’Aménagement de Développement et d’Équipement de La Réunion ("SEMADER") is a local mixed economy company created in 1985 to initiate development and planning actions of an intercommunal nature exclusively on the territory of La Réunion. Its main mission is to develop and manage housing programs for social use and to participate in development operations on the Reunion territory, particularly with a view to the construction of housing for social use.  </w:t>
        <w:br/>
        <w:t xml:space="preserve">3. The operation, formalized in the new shareholder pact, will be carried out in two inseparable stages. The CDC will proceed with two successive capital increases allowing it to ultimately hold more than half of the share capital and voting rights of SEMADER. The remainder will be held by minority shareholders who will not have the possibility to exercise a decisive influence over SEMADER in the sense of merger control, so that the CDC will exercise exclusive control over SEMADER.  </w:t>
        <w:br/>
        <w:t xml:space="preserve">4. As it results in the exclusive control of SEMADER by the CDC, the notified operation constitutes a concentration within the meaning of Article L. 430-1 of the Commercial Code.  </w:t>
        <w:br/>
        <w:t>5. The concerned companies together achieve a total worldwide turnover of more than 75 million euros (CDC: [≥75 million] euros for the fiscal year ending December 31, 2018; SEMADER: [≤75] million euros for the fiscal year ending December 31, 2018). Each of these companies achieves, in France, a turnover exceeding 15 million euros (CDC: [≥15 million] euros for the fiscal year ending December 31, 2018; SEMADER: [≥15] million euros for the fiscal year ending December 31, 2018). Given these turnover figures, the operation does not have a European dimension. However, the control thresholds mentioned in 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6. The sector concerned by the operation is that of real estate services.  </w:t>
        <w:br/>
        <w:t xml:space="preserve">A. THE SERVICE MARKETS  </w:t>
        <w:br/>
        <w:t xml:space="preserve">7. National1 and European2 competition authorities have considered various segmentations in the real estate services sector according to (i) the recipients of the services (individuals or businesses), (ii) the pricing method (free residential real estate and social or intermediate housing), (iii) the type of activity carried out in the premises (offices, commercial premises, and other activity premises), and (iv) the nature of the services or goods offered.  </w:t>
        <w:br/>
        <w:t xml:space="preserve">1 See in particular the decisions of the Competition Authority No. 17-DCC-181 of November 6, 2017, regarding five operations in the real estate sector in the overseas departments and regions, No. 17-DCC-09 of January 20, 2017, regarding the joint control of a real estate complex by the Caisse des dépôts et consignations and the Artea group, No. 16-DCC-02 of January 11, 2016, regarding the joint control of a real estate asset located in Marseille by the BPCE group and the Caisse des dépôts et consignations, No. 15-DCC-128 of September 21, 2015, regarding the joint control of a real estate asset located in Rennes by the BPCE group and the Caisse des dépôts et consignations, No. 09-DCC-16 of June 22, 2009, regarding the merger between the Caisse d’Épargne and Banque Populaire groups, No. 14-DCC-46 of April 1, 2014, regarding the joint control of an industrial real estate asset in Moselle by Norges Bank and Prologis, No. 15-DCC-156 of December 7, 2015, regarding the joint control of an office real estate asset by Sogecap and Predica, as well as the letter from the Minister of Economy, Industry and Employment C2008-79 of August 22, 2008, regarding a concentration in the real estate sector, BOCCRF No. 8 bis of October 23, 2008.  </w:t>
        <w:br/>
        <w:t>2 See the decisions of the European Commission COMP/M.2110 of September 25, 2000, Deutsche Bank / SEI / JV, IV/M.2825 of July 9, 2002, Fortis AG SA / Bernheim-Comofi, SA COMP/M.3370 of March 9, 2004, BNP Paribas/ARI.</w:t>
      </w:r>
    </w:p>
    <w:p>
      <w:r>
        <w:t xml:space="preserve">8. Regarding segmentation according to the nature of services or goods offered, the decisional practice has considered, while leaving the question open, the distinction between:  </w:t>
        <w:br/>
        <w:t xml:space="preserve">− real estate development, which includes construction and sale activities of real estate properties;  </w:t>
        <w:br/>
        <w:t xml:space="preserve">− real estate asset management for own account;  </w:t>
        <w:br/>
        <w:t xml:space="preserve">− real estate asset management for third-party account;  </w:t>
        <w:br/>
        <w:t xml:space="preserve">− real estate administration, which covers property management activities on behalf of owners and can be segmented between rental management and co-ownership management;  </w:t>
        <w:br/>
        <w:t xml:space="preserve">− real estate appraisal;  </w:t>
        <w:br/>
        <w:t xml:space="preserve">− real estate consulting;  </w:t>
        <w:br/>
        <w:t xml:space="preserve">− intermediation in real estate transactions, an activity within which a distinction can be made between sale and rental of real estate3.  </w:t>
        <w:br/>
        <w:t>9. There is no need to challenge this market delimitation in the context of the present operation.</w:t>
      </w:r>
    </w:p>
    <w:p>
      <w:r>
        <w:t xml:space="preserve">B. THE GEOGRAPHICAL MARKETS  </w:t>
        <w:br/>
        <w:t xml:space="preserve">10. According to the aforementioned decisional practice, the markets related to the real estate sector are generally of a local dimension, taking into account, in particular, the differences between regions and regional metropolises in terms of prices and demand in real estate.  </w:t>
        <w:br/>
        <w:t xml:space="preserve">11. For regions outside Île-de-France, competition authorities have conducted their competitive analyses at the regional or sub-regional level4. In its recent decisions, the Authority has examined the effects of operations at the level of agglomerations5.  </w:t>
        <w:br/>
        <w:t xml:space="preserve">12. In this case, the notifying party considers that for each of the concerned product markets, the relevant geographical market for the competitive analysis of the operation corresponds to the entirety of the territory of La Réunion. Indeed, the public information provided confirms that the competitive conditions and observed prices are relatively homogeneous across the entire territory.  </w:t>
        <w:br/>
        <w:t xml:space="preserve">13. The question of the exact delimitation of the geographical markets concerned by the operation can, however, be left open as the conclusions of the competitive analysis remain unchanged, regardless of the segmentation retained.  </w:t>
        <w:br/>
        <w:t xml:space="preserve">3 Letter from the Minister of Economy, Finance and Industry C2005-126 of January 25, 2006, regarding a concentration in the real estate services sector.  </w:t>
        <w:br/>
        <w:t xml:space="preserve">4 See, for example, the decision of the Competition Authority No. 14-DCC-166 of November 13, 2014, regarding the exclusive control by Klépierre SA of Corio NV.  </w:t>
        <w:br/>
        <w:t>5 See, for example, the decision of the Competition Authority No. 16-DCC-50 of April 7, 2016, regarding the joint control of a real estate asset located in Toulouse by the company Oppidéa, the company Immo Retail, and the Caisse des Dépôts et Consignations.</w:t>
      </w:r>
    </w:p>
    <w:p>
      <w:r>
        <w:rPr>
          <w:b/>
        </w:rPr>
        <w:t>[Pages 4–6]</w:t>
      </w:r>
    </w:p>
    <w:p>
      <w:r>
        <w:t xml:space="preserve">III. Competitive Analysis  </w:t>
        <w:br/>
        <w:t xml:space="preserve">14. The activities of the parties overlap in the real estate services markets, primarily in the market for the management of social housing on their own account. Indeed, SEMADER is mainly active in the market for the management of social housing on its own account. In 2017, CDC Habitat entered the capital of six overseas real estate companies (the "SIDOM"), notably acquiring joint control of the Société Immobilière du Département de La Réunion (the "SIDR"), which is also active in the market for the management of social housing on its own account.  </w:t>
        <w:br/>
        <w:t xml:space="preserve">15. Furthermore, there is a vertical link between the social housing financing activity entrusted by the State to the CDC and the market for the management of social housing on their own account.  </w:t>
        <w:br/>
        <w:t xml:space="preserve">A. ANALYSIS OF HORIZONTAL EFFECTS  </w:t>
        <w:br/>
        <w:t xml:space="preserve">16. In the markets (i) of real estate development for social housing, (ii) of ownership and management for own account of free residential housing, (iii) of ownership and management for own account of offices, (iv) of ownership and management for own account of commercial premises, and (v) of management for own account of real estate assets for other activities, the new entity will have market shares below 25% regardless of the geographical delineation retained.  </w:t>
        <w:br/>
        <w:t xml:space="preserve">17. Given these limited market shares, the operation is not likely to harm competition through horizontal effects in these markets.  </w:t>
        <w:br/>
        <w:t xml:space="preserve">18. In the market for the management for own account of social housing in La Réunion, the new entity will have a market share of 44.8%. The market shares of the parties and their main competitors are summarized in the table below.  </w:t>
        <w:br/>
        <w:t xml:space="preserve">Number of social housing units Market share  </w:t>
        <w:br/>
        <w:t xml:space="preserve">SIDR (CDC) 26,112 [30-40]%  </w:t>
        <w:br/>
        <w:t xml:space="preserve">SEMADER 7,821 [10-20]%  </w:t>
        <w:br/>
        <w:t xml:space="preserve">Combined parties 33,933 [40-50]%  </w:t>
        <w:br/>
        <w:t xml:space="preserve">SHLMR 26,023 [30-40]%  </w:t>
        <w:br/>
        <w:t xml:space="preserve">SEMAC 4,463 [5-10]%  </w:t>
        <w:br/>
        <w:t xml:space="preserve">SEDRE 4,157 [5-10]%  </w:t>
        <w:br/>
        <w:t xml:space="preserve">SOGEDIS 3,910 [5-10]%  </w:t>
        <w:br/>
        <w:t xml:space="preserve">Total 75,789 100%  </w:t>
        <w:br/>
        <w:t xml:space="preserve">19. In the narrower potential geographical markets of public intercommunal cooperation establishments ("EPCI"), the market shares will be lower than those observed across the entire territory of La Réunion except in the Intercommunal of Northern La Réunion ("CINOR") where the market share of the new entity will rise to 52.5%.  </w:t>
        <w:br/>
        <w:t xml:space="preserve">20. The new entity will face competition from five other social landlords, notably the Société anonyme d'Habitation à Loyer Modéré de La Réunion ("SHLMR") which has 26,023 housing units (representing 34.3% market share across the entire territory of La Réunion and 31.7% in the territory of CINOR) compared to 33,933 for the new entity.  </w:t>
        <w:br/>
        <w:t xml:space="preserve">21. Articles L. 442-1 to L. 442-12 of the Construction and Housing Code establish the general principles governing the setting of rents for social housing. In particular, the amount of rent applicable per square meter of housing is limited by a ceiling, which applies not only when setting the initial rent but also at the time of future revisions, determined by a social utility convention (the "CUS") signed between the social landlord and the State, represented by the prefect. A circular specifies annually the level of rent ceilings applicable to regulated housing, set by geographical area. In this case, the geographical area concerned is the territory of La Réunion.  </w:t>
        <w:br/>
        <w:t xml:space="preserve">22. The maximum rent per square meter is determined, in particular, based on the type of financing that enabled the construction or improvement of social housing and varies over time according to the age of the construction or improvement works. The prefect ensures that the CUS he enters into on behalf of the State with the various social landlords are homogeneous and do not create competitive distortions unduly favoring a particular social landlord. Each social landlord is required to comply with the applicable ceiling. The application of the regulation concerning rents for social housing leads, in any case, to the absence of risk of price increases for tenants.  </w:t>
        <w:br/>
        <w:t xml:space="preserve">23. Finally, it is noted that the CUS entered into with the State also frames certain major elements other than price:  </w:t>
        <w:br/>
        <w:t xml:space="preserve">− the asset and investment policy of the social landlord, notably the strategic orientations related to enhancing the energy performance of the energy-intensive rental stock, the issue of asbestos, and the development of new supply;  </w:t>
        <w:br/>
        <w:t xml:space="preserve">− the commitments of the social landlord regarding social management, in order to ensure notably the diversity of households in occupancy and the reception of disadvantaged households; and  </w:t>
        <w:br/>
        <w:t xml:space="preserve">− the quality of service policy relating notably to accessibility and adaptation to specific audiences, senior policy, proximity policy, and control of rental charges.  </w:t>
        <w:br/>
        <w:t xml:space="preserve">24. It follows from the above that the CUS guarantees that the level of concentration observed following the operation will have little or no impact on prices or the quality of service provided.  </w:t>
        <w:br/>
        <w:t xml:space="preserve">25. Finally, the operation will not allow the new entity to limit access to applicants for social housing. Indeed, with the creation of a common file of the national registration system ("SNE") by the association Gestion, Enregistrement, Observation de la Demande ("GEOD"), the applicant benefits from a "one-stop shop" system allowing them to submit a housing request to a social landlord, which will be shared with all other social landlords who can all offer the applicant housing, without the social landlord receiving the request having any preferential or preemptive right over the applicant. With the common SNE file, the size of the new entity does not allow it to limit the access of other social landlords to clients. Indeed, even the smallest social landlord has guaranteed access on equal terms to all applicants.  </w:t>
        <w:br/>
        <w:t xml:space="preserve">26. In light of the above, the operation is not likely to harm competition in the market for the ownership and management for own account of social housing in La Réunion.  </w:t>
        <w:br/>
        <w:t xml:space="preserve">B. ANALYSIS OF VERTICAL EFFECTS  </w:t>
        <w:br/>
        <w:t xml:space="preserve">27. The Competition Authority has determined that the social housing financing activity entrusted by the State to the CDC does not constitute a market activity. As such, this activity is not a market concerned by the notified operation.  </w:t>
        <w:br/>
        <w:t xml:space="preserve">28. However, insofar as the social housing financing activity is situated upstream of a competitive market, it is necessary to analyze the risks arising from the CDC's acquisition of SEMADER downstream, in the markets for the management for own account of residential buildings for social use.  </w:t>
        <w:br/>
        <w:t xml:space="preserve">29. A vertical concentration can restrict competition by making it more difficult for competitors to access the markets in which the new entity will be active,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the products of upstream manufacturers, thereby reducing their commercial outlets.  </w:t>
        <w:br/>
        <w:t xml:space="preserve">30. In this case, the CDC could refuse to finance the social housing landlords competing with SEMADER, or make it more difficult for them to access credit.  </w:t>
        <w:br/>
        <w:t xml:space="preserve">31. Decisional practice generally considers that a risk of vertical or conglomerate effect can be ruled out as long as the market share of the entity resulting from the operation in the concerned markets does not exceed 30%.  </w:t>
        <w:br/>
        <w:t xml:space="preserve">32. However, despite the high market shares of the parties in the downstream market, the risk of excluding competitors from the new entity in the local markets for the management for own account of residential buildings for social use can be excluded.  </w:t>
        <w:br/>
        <w:t xml:space="preserve">33. Indeed, the CDC grants social landlords loans whose guiding principles are framed by regulatory provisions of the Construction and Housing Code. These loans are offered to landlords under identical financial conditions across the entire territory and without discrimination between borrowers.  </w:t>
        <w:br/>
        <w:t xml:space="preserve">34. Regarding the conditions of these loans (and their rates in particular), the CDC is required to grant long-term loans under identical conditions across the entire territory. The rates of the loans are notably indexed to the rate of the resource from which they are financed, in order to achieve alignment between the revenues from these loans and the cost of the resource used. The conditions of the loans are thus subject to a set of regulatory provisions that ensure that, in granting loans from the Savings Fund, the CDC does not discriminate between borrowers and that they are treated equally, regardless of their geographical situation or quality.  </w:t>
        <w:br/>
        <w:t>35. Regarding discrimination, any social landlord that meets the approval conditions and obtains approval from the State is eligible for these regulated loans from the CDC or, for certain types of financing, from a credit institution that has signed a convention.</w:t>
      </w:r>
    </w:p>
    <w:p>
      <w:r>
        <w:rPr>
          <w:b/>
        </w:rPr>
        <w:t>[Pages 7–7]</w:t>
      </w:r>
    </w:p>
    <w:p>
      <w:r>
        <w:t xml:space="preserve">refinancing. The CDC not granting this approval, it cannot therefore favor one social landlord to the detriment of another.  </w:t>
        <w:br/>
        <w:t xml:space="preserve">36. In light of the above, the operation is not likely to harm competition through vertical effects in the markets for the management of residential properties for social use on La Réunion.  </w:t>
        <w:br/>
        <w:t xml:space="preserve">DECIDES  </w:t>
        <w:br/>
        <w:t xml:space="preserve">Sole Article: The operation notified under number 19-216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