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https://www.autoritedelaconcurrence.fr/fr/decision-de-controle-des-concentrations/relative-la-prise-de-controle-exclusif-de-la-societe-10</w:t>
      </w:r>
    </w:p>
    <w:p>
      <w:r>
        <w:t>Pages translated : 4</w:t>
      </w:r>
    </w:p>
    <w:p/>
    <w:p>
      <w:r>
        <w:rPr>
          <w:b/>
        </w:rPr>
        <w:t>[Pages 1–3]</w:t>
      </w:r>
    </w:p>
    <w:p>
      <w:r>
        <w:t xml:space="preserve">FRENCH REPUBLIC  </w:t>
        <w:br/>
        <w:t xml:space="preserve">Decision No. 10-DCC-151 of October 29, 2010  </w:t>
        <w:br/>
        <w:t>regarding the exclusive control of the company Austrasie by the Lenormant group</w:t>
      </w:r>
    </w:p>
    <w:p>
      <w:r>
        <w:t xml:space="preserve">The Competition Authority,  </w:t>
        <w:br/>
        <w:t xml:space="preserve">Having regard to the notification file sent to the concentrations service on September 3, 2010, and declared complete on September 29, 2010, regarding the exclusive control of the company Austrasie SA by the company Sigle, formalized by a bilateral promise of sale dated July 9,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Sigle SAS is the financial holding of the Lenormant Group, active in the sector of industrial vehicle distribution. Sigle is wholly owned by the Lenormant family, the managing family of the group. The Lenormant Group's activities include the sale, maintenance, and rental of new and used industrial vehicles, handling equipment, quarry equipment, and tools, whether new or used, as well as the sale of spare parts, notably through 10 dealership companies (13 Renault Trucks dealerships and 1 Nissan Trucks dealership), one industrial vehicle rental company (with 5 agencies), and 5 spare parts distribution companies (6 stores) located mainly in the Île-de-France and Picardy regions.  </w:t>
        <w:br/>
        <w:t xml:space="preserve">2. The company Austrasie is a holding company grouping several car dealerships and industrial vehicle rental companies. Its capital is held 50% by Pierrard Group SAS and 50% by Mr. Jean-Pierre Richard. Austrasie directly or indirectly holds nine companies. Six of them are Renault Trucks dealerships (Hatrize Heavy Vehicles, Longwy Industrial Vehicles, Metz Industrial Vehicles, Pierrard Heavy Vehicles, Thionville Heavy Vehicles, Verdun Heavy Vehicles) and three of them are industrial vehicle rental companies (Hatrize Rental, Lokea, Pro Rent).  </w:t>
        <w:br/>
        <w:t xml:space="preserve">3. The promise of sale dated July 9, 2010, provides for the acquisition by the company Sigle, holding of the Lenormant Group, of 95% of the shares of Austrasie and the shares of the minority partners of its subsidiaries. Upon completion of the transaction, Sigle will exclusively control Austrasie, with the remaining 5% of the capital held by Mr. Jean Yves Pierrard (or a company owned by him) not granting him any special rights.  </w:t>
        <w:br/>
        <w:t xml:space="preserve">4. The notified transaction is therefore analyzed as the exclusive control of the company Austrasie by the company Sigle. It constitutes a concentration operation under the terms of Article L. 430-1 of the Commercial Code.  </w:t>
        <w:br/>
        <w:t>5. The concerned companies operate one or more retail stores and together achieve a total worldwide turnover of more than 75 million euros (Lenormant Group: 116 million euros for the fiscal year ending December 31, 2009; the company Austrasie: 51.7 million euros for the same year). Each achieves in France in the retail sector a turnover exceeding 15 million euros (Lenormant Group: 116 million euros for the fiscal year ending December 31, 2009; the company Austrasie: 51.7 million euros for the same year). Given these turnover figures, the operation does not have a community dimension. However,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1. SERVICE MARKETS  </w:t>
        <w:br/>
        <w:t xml:space="preserve">6. In the automotive distribution sector, decision-making practice traditionally distinguishes: (i) the distribution of new passenger cars intended for private customers, (ii) the distribution of new passenger cars intended for professional customers, (iii) the distribution of commercial vehicles (notably light commercial vehicles), (iv) the distribution of used passenger cars, (v) the distribution of spare parts and automotive accessories, (vi) maintenance and repair services for passenger vehicles, (vii) rental services.  </w:t>
        <w:br/>
        <w:t xml:space="preserve">7. By analogy with automotive distribution, the following markets can be distinguished within the industrial vehicle distribution sector:  </w:t>
        <w:br/>
        <w:t xml:space="preserve">- the distribution of new industrial vehicles,  </w:t>
        <w:br/>
        <w:t xml:space="preserve">- the distribution of used industrial vehicles,  </w:t>
        <w:br/>
        <w:t xml:space="preserve">- the distribution of spare parts and accessories for industrial vehicles,  </w:t>
        <w:br/>
        <w:t xml:space="preserve">- maintenance and repair services for industrial vehicles,  </w:t>
        <w:br/>
        <w:t xml:space="preserve">- rental services for industrial vehicles.  </w:t>
        <w:br/>
        <w:t xml:space="preserve">8. Furthermore, within the category of industrial vehicles, the European Commission has distinguished between heavy goods vehicles, on the one hand, and buses and coaches, on the other hand. Regarding trucks, the Community's decision-making practice has further segmented the market based on the vehicle's weight into light commercial vehicles or "light trucks" (&lt;5 tonnes), medium commercial vehicles or "medium trucks" (5-16 tonnes), and heavy goods vehicles or "heavy trucks" (&gt;16 tonnes). The Commission also considered that it was not relevant to distinguish within the heavy goods vehicle segment between "rigid trucks" and "tractor trucks." It also noted the existence of a distinct market for military trucks separate from the market for civilian trucks. Concerning buses and coaches, it segmented the market into urban buses, intercity buses, and tourist coaches.  </w:t>
        <w:br/>
        <w:t xml:space="preserve">9. In the context of the present operation, the question of the precise delimitation of the markets for industrial vehicle distribution may remain open, as the conclusions of the competitive analysis remain unchanged regardless of the segmentation adopted.  </w:t>
        <w:br/>
        <w:t>10. In this case, both parties are present in the retail sector for heavy goods vehicles, in each of the markets identified in paragraph 7.</w:t>
      </w:r>
    </w:p>
    <w:p>
      <w:r>
        <w:t xml:space="preserve">2. GEOGRAPHICAL MARKETS  </w:t>
        <w:br/>
        <w:t xml:space="preserve">11. Regarding the retail markets for new or used passenger vehicles, the distribution of spare parts and automotive accessories, and maintenance and repair services for passenger vehicles, decision-making practice retains a local geographical dimension, with competitive analysis frequently conducted at the departmental level.  </w:t>
        <w:br/>
        <w:t>12. Regarding the market for the repair and maintenance of heavy goods vehicles, the Minister of Economy, in his letter No. C2007-325, conducted an analysis at both the departmental and national levels while leaving the question of the precise geographical delimitation of this market open. It should indeed be noted that the acquisition of industrial vehicles is predominantly carried out by companies, whose scope of prospecting before purchasing a new vehicle may be significantly broader than that of individuals wishing to acquire a car. Therefore, a supra-departmental delimitation of the markets for industrial vehicle distribution seems appropriate.</w:t>
      </w:r>
    </w:p>
    <w:p>
      <w:r>
        <w:rPr>
          <w:b/>
        </w:rPr>
        <w:t>[Pages 4–4]</w:t>
      </w:r>
    </w:p>
    <w:p>
      <w:r>
        <w:t>13. In the context of the present operation, the question of the precise delineation of the markets for the distribution of industrial vehicles may remain open insofar as the results of the competitive analysis remain unchanged regardless of the segmentation adopted.</w:t>
      </w:r>
    </w:p>
    <w:p>
      <w:r>
        <w:t>14. In this case, the present operation does not result in any overlap at the local level. Indeed, in the departments of Meuse, Meurthe and Moselle, and Moselle, where the subsidiaries of Austrasie are active, the Lenormant Group is not present. It is also not active in the neighboring departments. On the other hand, the activities of the parties overlap at the national level.</w:t>
      </w:r>
    </w:p>
    <w:p>
      <w:r>
        <w:t>III. Competitive Analysis</w:t>
      </w:r>
    </w:p>
    <w:p>
      <w:r>
        <w:t>15. At the national level, in the markets where the parties are simultaneously active, namely the distribution of new industrial vehicles, the distribution of used industrial vehicles, the distribution of spare parts and accessories for industrial vehicles, maintenance and repair services for industrial vehicles, and rental services for industrial vehicles, the combined market share of the Lenormant Group will be less than 5% following the operation.</w:t>
      </w:r>
    </w:p>
    <w:p>
      <w:r>
        <w:t>16. Consequently, the proposed concentration is not likely to harm competition in the various markets for the distribution of industrial vehicles.</w:t>
      </w:r>
    </w:p>
    <w:p>
      <w:r>
        <w:t>DECIDES</w:t>
      </w:r>
    </w:p>
    <w:p>
      <w:r>
        <w:t>Sole Article: The operation notified under number 10-0142 is authorized.</w:t>
      </w:r>
    </w:p>
    <w:p>
      <w:r>
        <w:t>The President,</w:t>
        <w:br/>
        <w:t>Bruno Lasserre</w:t>
        <w:br/>
        <w:t>Competition Authority</w:t>
      </w:r>
    </w:p>
    <w:p>
      <w:r>
        <w:t>6 The Lenormant Group is active in the departments of Oise, Val d'Oise, Seine and Marne, and more marginally in Yvelines, Seine-Maritime, Aisne, and Somme.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