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https://www.autoritedelaconcurrence.fr/fr/decision-de-controle-des-concentrations/relative-la-prise-de-controle-exclusif-de-la-societe-100</w:t>
      </w:r>
    </w:p>
    <w:p>
      <w:r>
        <w:t>Pages translated : 2</w:t>
      </w:r>
    </w:p>
    <w:p/>
    <w:p>
      <w:r>
        <w:rPr>
          <w:b/>
        </w:rPr>
        <w:t>[Pages 1–2]</w:t>
      </w:r>
    </w:p>
    <w:p>
      <w:r>
        <w:t xml:space="preserve">FRENCH REPUBLIC  </w:t>
        <w:br/>
        <w:t xml:space="preserve">Decision No. 14-DCC-134 of September 22, 2014  </w:t>
        <w:br/>
        <w:t xml:space="preserve">regarding the exclusive control acquisition of the company Bernier Herblay  </w:t>
        <w:br/>
        <w:t xml:space="preserve">by the company Vauban Automobile  </w:t>
        <w:br/>
        <w:t xml:space="preserve">The Competition Authority,  </w:t>
        <w:br/>
        <w:t xml:space="preserve">Having regard to the notification file sent to the mergers department on August 5, 2014, and declared complete on September 1, 2014, concerning the exclusive control acquisition of the company Bernier Herblay by the company Vauban Automobile, a subsidiary of the Ranj Invest group, and formalized by a transfer protocol dated July 3, 2014;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Bernier Herblay, which operates a Peugeot brand car dealership in Herblay in the Val d’Oise (95) by the company Vauban Automobile, a subsidiary of the company Ranj Invest, which heads a group active in the distribution of Peugeot and Seat brand vehicles in the Val d’Oise (95) and Yvelines (78). This operation constitutes a concentration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In light of the elements of the file, the operation is not likely to harm competition in the relevant markets.</w:t>
      </w:r>
    </w:p>
    <w:p>
      <w:r>
        <w:t xml:space="preserve">DECIDES  </w:t>
        <w:br/>
        <w:t xml:space="preserve">Sole Article: The operation notified under number 14-142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