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https://www.autoritedelaconcurrence.fr/fr/decision-de-controle-des-concentrations/relative-la-prise-de-controle-exclusif-de-la-societe-102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14-DCC-156 of October 29, 2014  </w:t>
        <w:br/>
        <w:t xml:space="preserve">regarding the exclusive control acquisition of the company Vafiluc by the  </w:t>
        <w:br/>
        <w:t xml:space="preserve">company ITM Alimentaire Ouest  </w:t>
        <w:br/>
        <w:t xml:space="preserve">The Competition Authority,  </w:t>
        <w:br/>
        <w:t xml:space="preserve">Having regard to the complete notification file submitted to the mergers department on October 9, 2014,  </w:t>
        <w:br/>
        <w:t xml:space="preserve">concerning the exclusive control acquisition of the company Vafiluc by the company ITM Alimentaire  </w:t>
        <w:br/>
        <w:t xml:space="preserve">Ouest, and formalized by a share transfer agreement dated January 16,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Vafiluc, operating  </w:t>
        <w:br/>
        <w:t xml:space="preserve">a predominantly food-based business under the Intermarché brand in the city of  </w:t>
        <w:br/>
        <w:t xml:space="preserve">Lannion (22), by the company ITM Alimentaire Ouest, a subsidiary of ITM Entreprises.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 </w:t>
        <w:br/>
        <w:t xml:space="preserve">the jurisdiction of the European Union.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14-178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