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https://www.autoritedelaconcurrence.fr/fr/decision-de-controle-des-concentrations/relative-la-prise-de-controle-exclusif-de-la-societe-103</w:t>
      </w:r>
    </w:p>
    <w:p>
      <w:r>
        <w:t>Pages translated : 4</w:t>
      </w:r>
    </w:p>
    <w:p/>
    <w:p>
      <w:r>
        <w:rPr>
          <w:b/>
        </w:rPr>
        <w:t>[Pages 1–3]</w:t>
      </w:r>
    </w:p>
    <w:p>
      <w:r>
        <w:t xml:space="preserve">FRENCH REPUBLIC  </w:t>
        <w:br/>
        <w:t xml:space="preserve">Decision No. 14-DCC-175 of November 25, 2014  </w:t>
        <w:br/>
        <w:t xml:space="preserve">regarding the exclusive control of the company Financière D.P. by  </w:t>
        <w:br/>
        <w:t>the company PGA Motors</w:t>
      </w:r>
    </w:p>
    <w:p>
      <w:r>
        <w:t xml:space="preserve">The Competition Authority,  </w:t>
        <w:br/>
        <w:t xml:space="preserve">Having regard to the notification file submitted in full to the merger service on  </w:t>
        <w:br/>
        <w:t xml:space="preserve">October 24, 2014, concerning the exclusive control of the company Financière D.P. by the  </w:t>
        <w:br/>
        <w:t xml:space="preserve">company PGA Motors via its subsidiary G.G.B.A, and formalized by a letter of intent dated  </w:t>
        <w:br/>
        <w:t xml:space="preserve">July 23, 2014;  </w:t>
        <w:br/>
        <w:t xml:space="preserve">Having regard to Book IV of the Commercial Code relating to the freedom of prices and  </w:t>
        <w:br/>
        <w:t xml:space="preserve">competition, and in particular its Articles L. 430-1 to L. 430-7;  </w:t>
        <w:br/>
        <w:t>Adopts the following decision:</w:t>
      </w:r>
    </w:p>
    <w:p>
      <w:r>
        <w:t xml:space="preserve">I. The companies concerned and the operation  </w:t>
        <w:br/>
        <w:t xml:space="preserve">1. G.G.B.A is a simplified joint-stock company under French law, controlled by the company PGA  </w:t>
        <w:br/>
        <w:t xml:space="preserve">Motors which is ultimately controlled by Volkswagen AG. The company PGA Motors and its  </w:t>
        <w:br/>
        <w:t xml:space="preserve">subsidiaries are active in the automotive trade sector. As such, they operate a network of car dealerships  </w:t>
        <w:br/>
        <w:t xml:space="preserve">where the brands Renault, Dacia, Volkswagen, Audi, Skoda, Nissan, Toyota, BMW, Peugeot, Citroën,  </w:t>
        <w:br/>
        <w:t xml:space="preserve">Mercedes, Mini, Opel, Lexus, Suzuki, and Porsche are distributed. PGA Motors also controls a  </w:t>
        <w:br/>
        <w:t xml:space="preserve">technical control company.  </w:t>
        <w:br/>
        <w:t xml:space="preserve">2. The company Financière D.P. is a holding company that holds the majority of the capital of  </w:t>
        <w:br/>
        <w:t xml:space="preserve">the companies Vitrolles Automobiles and Service and Marignane Automobiles and Services (hereinafter  </w:t>
        <w:br/>
        <w:t xml:space="preserve">“the target companies”). These companies operate three car dealerships for the brands Renault and Dacia  </w:t>
        <w:br/>
        <w:t xml:space="preserve">in the department of Bouches-du-Rhône (13). Prior to the operation, the entire capital of the company  </w:t>
        <w:br/>
        <w:t>Financière D.P. was held by members of the Dosmond family.</w:t>
      </w:r>
    </w:p>
    <w:p>
      <w:r>
        <w:t xml:space="preserve">3. The operation, formalized by a letter of intent dated July 23, 2014, concerns the acquisition of  </w:t>
        <w:br/>
        <w:t xml:space="preserve">the entire capital of the financial company D.P. and its subsidiaries by PGA Motors.  </w:t>
        <w:br/>
        <w:t xml:space="preserve">4. As it results in the exclusive control of the target companies by PGA Motors, the notified operation  </w:t>
        <w:br/>
        <w:t xml:space="preserve">constitutes a concentration within the meaning of Article L.430-1 of the Commercial Code.  </w:t>
        <w:br/>
        <w:t xml:space="preserve">5. The companies concerned together achieve a total worldwide turnover of more than 75 million euros  </w:t>
        <w:br/>
        <w:t xml:space="preserve">(Volkswagen Group: 197 billion euros for the fiscal year ending December 31, 2013; target companies:  </w:t>
        <w:br/>
        <w:t xml:space="preserve">55.9 million euros for the same fiscal year). Each of these companies has achieved a turnover in France  </w:t>
        <w:br/>
        <w:t xml:space="preserve">exceeding 50 million euros (Volkswagen Group: 6.7 billion euros for the fiscal year ending  </w:t>
        <w:br/>
        <w:t xml:space="preserve">December 31, 2013; target companies: 55.9 million euros for the same fiscal year). Given the turnover  </w:t>
        <w:br/>
        <w:t xml:space="preserve">of the companies concerned, the notified operation does not have a community dimension. However, the  </w:t>
        <w:br/>
        <w:t xml:space="preserve">control thresholds mentioned in point II of Article L. 430-2 of the Commercial Code are exceeded.  </w:t>
        <w:br/>
        <w:t xml:space="preserve">This operation is therefore subject to the provisions of Articles L. 430-3 and following of the  </w:t>
        <w:br/>
        <w:t>Commercial Code relating to economic concentration.</w:t>
      </w:r>
    </w:p>
    <w:p>
      <w:r>
        <w:t xml:space="preserve">A. DELIMITATION OF PRODUCT AND SERVICE MARKETS  </w:t>
        <w:br/>
        <w:t xml:space="preserve">6. In the automotive distribution sector, the decisional practice1 distinguishes (i) the distribution of  </w:t>
        <w:br/>
        <w:t xml:space="preserve">new passenger vehicles intended for individual customers; (ii) the distribution of new passenger vehicles  </w:t>
        <w:br/>
        <w:t xml:space="preserve">intended for professional customers; (iii) the distribution of commercial vehicles; (iv) the distribution of  </w:t>
        <w:br/>
        <w:t xml:space="preserve">used vehicles; (v) the distribution of spare parts and automotive accessories; (vi) the distribution of  </w:t>
        <w:br/>
        <w:t xml:space="preserve">maintenance and repair services for motor vehicles; (vii) the distribution of rental services.  </w:t>
        <w:br/>
        <w:t xml:space="preserve">7. There is no need to challenge these delimitations during the examination of the present operation.  </w:t>
        <w:br/>
        <w:t>8. The companies concerned are simultaneously present in all of these markets.</w:t>
      </w:r>
    </w:p>
    <w:p>
      <w:r>
        <w:t xml:space="preserve">B. GEOGRAPHICAL DELIMITATION OF MARKETS  </w:t>
        <w:br/>
        <w:t xml:space="preserve">9. Regarding the retail sale of new or used motor vehicles, spare parts and automotive accessories,  </w:t>
        <w:br/>
        <w:t xml:space="preserve">and maintenance and repair services for motor vehicles, the decisional practice2 adopts a local  </w:t>
        <w:br/>
        <w:t xml:space="preserve">definition, with the analysis generally conducted at the departmental level.  </w:t>
        <w:br/>
        <w:t xml:space="preserve">10. In this case, both parties are active in the department of Bouches-du-Rhône (13), the only  </w:t>
        <w:br/>
        <w:t xml:space="preserve">department where their activities overlap.  </w:t>
        <w:br/>
        <w:t xml:space="preserve">1 See in particular Decision No. 09-DCC-01 of the Competition Authority of April 8, 2009, and Decision No. 10-DCC-23 of March 1, 2010.  </w:t>
        <w:br/>
        <w:t>2 See the aforementioned decisions.</w:t>
      </w:r>
    </w:p>
    <w:p>
      <w:r>
        <w:t xml:space="preserve">II. Competitive Analysis  </w:t>
        <w:br/>
        <w:t xml:space="preserve">11. Regarding the calculation of market shares, the decisional practice3 uses as an indicator the  </w:t>
        <w:br/>
        <w:t xml:space="preserve">ratio between the sales of new vehicles made by the parties in the departments concerned by the  </w:t>
        <w:br/>
        <w:t xml:space="preserve">operation and the total registrations of new vehicles recorded in these same departments by the  </w:t>
        <w:br/>
        <w:t xml:space="preserve">prefectures.  </w:t>
        <w:br/>
        <w:t xml:space="preserve">12. On the various markets concerned by the operation, the parties to the concentration present the  </w:t>
        <w:br/>
        <w:t>following market shares:</w:t>
      </w:r>
    </w:p>
    <w:p>
      <w:r>
        <w:t xml:space="preserve">Department of Bouches-du-Rhône (13)  </w:t>
        <w:br/>
        <w:t>Market shares related to the number of vehicles</w:t>
      </w:r>
    </w:p>
    <w:p>
      <w:r>
        <w:t xml:space="preserve">PGA Target Companies Cumulative  </w:t>
        <w:br/>
        <w:t>Motors</w:t>
      </w:r>
    </w:p>
    <w:p>
      <w:r>
        <w:t xml:space="preserve">Distribution of new passenger vehicles intended for individual customers 10.07% 3.67% 13.74%  </w:t>
        <w:br/>
        <w:t xml:space="preserve">Distribution of new passenger vehicles intended for professional customers 6.91% 1.24% 8.15%  </w:t>
        <w:br/>
        <w:t xml:space="preserve">Distribution of commercial vehicles 6.75% 4.84% 11.59%  </w:t>
        <w:br/>
        <w:t>Distribution of used vehicles 3.08% 1.01% 4.09%</w:t>
      </w:r>
    </w:p>
    <w:p>
      <w:r>
        <w:t xml:space="preserve">13. In the markets for the distribution of new passenger vehicles to individual customers, the distribution of  </w:t>
        <w:br/>
        <w:t xml:space="preserve">new commercial vehicles, the distribution of commercial motor vehicles, and the distribution of used  </w:t>
        <w:br/>
        <w:t xml:space="preserve">motor vehicles, the company PGA Motors will therefore hold in the department of Bouches-du-Rhône,  </w:t>
        <w:br/>
        <w:t xml:space="preserve">market shares below 20%, regardless of the market concerned following the operation.  </w:t>
        <w:br/>
        <w:t xml:space="preserve">14. In the market for the retail sale of spare parts and automotive accessories and in the market for  </w:t>
        <w:br/>
        <w:t xml:space="preserve">maintenance and repair services for motor vehicles, the parties estimate that they represent about 6% of  </w:t>
        <w:br/>
        <w:t xml:space="preserve">the markets. PGA Motors will also face competition from numerous independent garages and repairers  </w:t>
        <w:br/>
        <w:t xml:space="preserve">and specialized brands such as Speedy, Norauto, Midas, Feu Vert, or Euromaster, as well as other  </w:t>
        <w:br/>
        <w:t xml:space="preserve">dealers likely to offer consumers identical or equivalent quality spare parts and accessories, and  </w:t>
        <w:br/>
        <w:t xml:space="preserve">maintenance and repair services for motor vehicles similar to those distributed by PGA Motors.  </w:t>
        <w:br/>
        <w:t xml:space="preserve">15. Given the above elements, the operation is not likely to harm competition in the concerned markets.  </w:t>
        <w:br/>
        <w:t>3 See the aforementioned decisions.</w:t>
      </w:r>
    </w:p>
    <w:p>
      <w:r>
        <w:rPr>
          <w:b/>
        </w:rPr>
        <w:t>[Pages 4–4]</w:t>
      </w:r>
    </w:p>
    <w:p>
      <w:r>
        <w:t>DECIDES</w:t>
      </w:r>
    </w:p>
    <w:p>
      <w:r>
        <w:t>Sole Article: The operation notified under number 14-193 is authorized.</w:t>
      </w:r>
    </w:p>
    <w:p>
      <w:r>
        <w:t>The President,</w:t>
      </w:r>
    </w:p>
    <w:p>
      <w:r>
        <w:t>Bruno Lasserre</w:t>
      </w:r>
    </w:p>
    <w:p>
      <w:r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